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3977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Toc193804824"/>
      <w:bookmarkStart w:id="1" w:name="_Toc392767530"/>
      <w:r>
        <w:rPr>
          <w:rFonts w:hint="eastAsia" w:ascii="方正小标宋简体" w:hAnsi="方正小标宋简体" w:eastAsia="方正小标宋简体" w:cs="方正小标宋简体"/>
          <w:sz w:val="44"/>
          <w:szCs w:val="44"/>
        </w:rPr>
        <w:t>辽宁省地方标准《行业用水定额》</w:t>
      </w:r>
    </w:p>
    <w:p w14:paraId="1F783BA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修订</w:t>
      </w:r>
      <w:r>
        <w:rPr>
          <w:rFonts w:hint="eastAsia" w:ascii="方正小标宋简体" w:hAnsi="方正小标宋简体" w:eastAsia="方正小标宋简体" w:cs="方正小标宋简体"/>
          <w:sz w:val="44"/>
          <w:szCs w:val="44"/>
        </w:rPr>
        <w:t>说明书</w:t>
      </w:r>
    </w:p>
    <w:p w14:paraId="5027B410">
      <w:pPr>
        <w:ind w:firstLine="640" w:firstLineChars="200"/>
        <w:rPr>
          <w:rFonts w:hint="eastAsia" w:ascii="黑体" w:hAnsi="黑体" w:eastAsia="黑体" w:cs="黑体"/>
          <w:sz w:val="32"/>
          <w:szCs w:val="32"/>
          <w:lang w:val="en-US" w:eastAsia="zh-CN"/>
        </w:rPr>
      </w:pPr>
    </w:p>
    <w:p w14:paraId="2ABAECF8">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与原标准主要差异</w:t>
      </w:r>
      <w:bookmarkEnd w:id="0"/>
    </w:p>
    <w:p w14:paraId="37597214">
      <w:pPr>
        <w:spacing w:line="360" w:lineRule="auto"/>
        <w:ind w:firstLine="560" w:firstLineChars="200"/>
        <w:rPr>
          <w:rFonts w:ascii="Times New Roman" w:hAnsi="Times New Roman"/>
          <w:spacing w:val="20"/>
          <w:sz w:val="24"/>
          <w:szCs w:val="24"/>
        </w:rPr>
      </w:pPr>
      <w:bookmarkStart w:id="2" w:name="OLE_LINK3"/>
      <w:r>
        <w:rPr>
          <w:rFonts w:hint="eastAsia" w:ascii="Times New Roman" w:hAnsi="Times New Roman"/>
          <w:spacing w:val="20"/>
          <w:sz w:val="24"/>
          <w:szCs w:val="24"/>
        </w:rPr>
        <w:t>本标准与DB21/T</w:t>
      </w:r>
      <w:r>
        <w:rPr>
          <w:rFonts w:ascii="Times New Roman" w:hAnsi="Times New Roman"/>
          <w:spacing w:val="20"/>
          <w:sz w:val="24"/>
          <w:szCs w:val="24"/>
        </w:rPr>
        <w:t xml:space="preserve"> </w:t>
      </w:r>
      <w:r>
        <w:rPr>
          <w:rFonts w:hint="eastAsia" w:ascii="Times New Roman" w:hAnsi="Times New Roman"/>
          <w:spacing w:val="20"/>
          <w:sz w:val="24"/>
          <w:szCs w:val="24"/>
        </w:rPr>
        <w:t>1237—20</w:t>
      </w:r>
      <w:r>
        <w:rPr>
          <w:rFonts w:ascii="Times New Roman" w:hAnsi="Times New Roman"/>
          <w:spacing w:val="20"/>
          <w:sz w:val="24"/>
          <w:szCs w:val="24"/>
        </w:rPr>
        <w:t>20</w:t>
      </w:r>
      <w:r>
        <w:rPr>
          <w:rFonts w:hint="eastAsia" w:ascii="Times New Roman" w:hAnsi="Times New Roman"/>
          <w:spacing w:val="20"/>
          <w:sz w:val="24"/>
          <w:szCs w:val="24"/>
        </w:rPr>
        <w:t>相比</w:t>
      </w:r>
      <w:r>
        <w:rPr>
          <w:rFonts w:ascii="Times New Roman" w:hAnsi="Times New Roman"/>
          <w:spacing w:val="20"/>
          <w:sz w:val="24"/>
          <w:szCs w:val="24"/>
        </w:rPr>
        <w:t>，除编辑性修改外主要技术变化</w:t>
      </w:r>
      <w:r>
        <w:rPr>
          <w:rFonts w:hint="eastAsia" w:ascii="Times New Roman" w:hAnsi="Times New Roman"/>
          <w:spacing w:val="20"/>
          <w:sz w:val="24"/>
          <w:szCs w:val="24"/>
        </w:rPr>
        <w:t>如下：</w:t>
      </w:r>
    </w:p>
    <w:p w14:paraId="0E477942">
      <w:pPr>
        <w:spacing w:line="360" w:lineRule="auto"/>
        <w:ind w:firstLine="560" w:firstLineChars="200"/>
        <w:rPr>
          <w:rFonts w:ascii="Times New Roman" w:hAnsi="Times New Roman"/>
          <w:spacing w:val="20"/>
          <w:sz w:val="24"/>
          <w:szCs w:val="24"/>
        </w:rPr>
      </w:pPr>
      <w:r>
        <w:rPr>
          <w:rFonts w:ascii="Times New Roman" w:hAnsi="Times New Roman"/>
          <w:spacing w:val="20"/>
          <w:sz w:val="24"/>
          <w:szCs w:val="24"/>
        </w:rPr>
        <w:softHyphen/>
      </w:r>
      <w:r>
        <w:rPr>
          <w:rFonts w:ascii="Times New Roman" w:hAnsi="Times New Roman"/>
          <w:spacing w:val="20"/>
          <w:sz w:val="24"/>
          <w:szCs w:val="24"/>
        </w:rPr>
        <w:t>——</w:t>
      </w:r>
      <w:r>
        <w:rPr>
          <w:rFonts w:hint="eastAsia" w:ascii="Times New Roman" w:hAnsi="Times New Roman"/>
          <w:spacing w:val="20"/>
          <w:sz w:val="24"/>
          <w:szCs w:val="24"/>
        </w:rPr>
        <w:t>本标准中行业分类与代码依据GB/T 4754—201</w:t>
      </w:r>
      <w:r>
        <w:rPr>
          <w:rFonts w:ascii="Times New Roman" w:hAnsi="Times New Roman"/>
          <w:spacing w:val="20"/>
          <w:sz w:val="24"/>
          <w:szCs w:val="24"/>
        </w:rPr>
        <w:t>7</w:t>
      </w:r>
      <w:r>
        <w:rPr>
          <w:rFonts w:hint="eastAsia" w:ascii="Times New Roman" w:hAnsi="Times New Roman"/>
          <w:spacing w:val="20"/>
          <w:sz w:val="24"/>
          <w:szCs w:val="24"/>
        </w:rPr>
        <w:t>进行重新编制；</w:t>
      </w:r>
    </w:p>
    <w:p w14:paraId="7532F521">
      <w:pPr>
        <w:spacing w:line="360" w:lineRule="auto"/>
        <w:ind w:firstLine="560" w:firstLineChars="200"/>
        <w:rPr>
          <w:rFonts w:ascii="Times New Roman" w:hAnsi="Times New Roman"/>
          <w:spacing w:val="20"/>
          <w:sz w:val="24"/>
          <w:szCs w:val="24"/>
        </w:rPr>
      </w:pPr>
      <w:r>
        <w:rPr>
          <w:rFonts w:ascii="Times New Roman" w:hAnsi="Times New Roman"/>
          <w:spacing w:val="20"/>
          <w:sz w:val="24"/>
          <w:szCs w:val="24"/>
        </w:rPr>
        <w:t>——</w:t>
      </w:r>
      <w:r>
        <w:rPr>
          <w:rFonts w:hint="eastAsia" w:ascii="Times New Roman" w:hAnsi="Times New Roman"/>
          <w:spacing w:val="20"/>
          <w:sz w:val="24"/>
          <w:szCs w:val="24"/>
        </w:rPr>
        <w:t>修订</w:t>
      </w:r>
      <w:r>
        <w:rPr>
          <w:rFonts w:ascii="Times New Roman" w:hAnsi="Times New Roman"/>
          <w:spacing w:val="20"/>
          <w:sz w:val="24"/>
          <w:szCs w:val="24"/>
        </w:rPr>
        <w:t>了规范性引用文件；</w:t>
      </w:r>
    </w:p>
    <w:p w14:paraId="4FC39E10">
      <w:pPr>
        <w:spacing w:line="360" w:lineRule="auto"/>
        <w:ind w:firstLine="560" w:firstLineChars="200"/>
        <w:rPr>
          <w:rFonts w:ascii="Times New Roman" w:hAnsi="Times New Roman"/>
          <w:spacing w:val="20"/>
          <w:sz w:val="24"/>
          <w:szCs w:val="24"/>
        </w:rPr>
      </w:pPr>
      <w:r>
        <w:rPr>
          <w:rFonts w:ascii="Times New Roman" w:hAnsi="Times New Roman"/>
          <w:spacing w:val="20"/>
          <w:sz w:val="24"/>
          <w:szCs w:val="24"/>
        </w:rPr>
        <w:t>——</w:t>
      </w:r>
      <w:r>
        <w:rPr>
          <w:rFonts w:hint="eastAsia" w:ascii="Times New Roman" w:hAnsi="Times New Roman"/>
          <w:spacing w:val="20"/>
          <w:sz w:val="24"/>
          <w:szCs w:val="24"/>
        </w:rPr>
        <w:t>增加</w:t>
      </w:r>
      <w:r>
        <w:rPr>
          <w:rFonts w:ascii="Times New Roman" w:hAnsi="Times New Roman"/>
          <w:spacing w:val="20"/>
          <w:sz w:val="24"/>
          <w:szCs w:val="24"/>
        </w:rPr>
        <w:t>、</w:t>
      </w:r>
      <w:r>
        <w:rPr>
          <w:rFonts w:hint="eastAsia" w:ascii="Times New Roman" w:hAnsi="Times New Roman"/>
          <w:spacing w:val="20"/>
          <w:sz w:val="24"/>
          <w:szCs w:val="24"/>
        </w:rPr>
        <w:t>修改和</w:t>
      </w:r>
      <w:r>
        <w:rPr>
          <w:rFonts w:ascii="Times New Roman" w:hAnsi="Times New Roman"/>
          <w:spacing w:val="20"/>
          <w:sz w:val="24"/>
          <w:szCs w:val="24"/>
        </w:rPr>
        <w:t>删除了产品名称、用水定额</w:t>
      </w:r>
      <w:r>
        <w:rPr>
          <w:rFonts w:hint="eastAsia" w:ascii="Times New Roman" w:hAnsi="Times New Roman"/>
          <w:spacing w:val="20"/>
          <w:sz w:val="24"/>
          <w:szCs w:val="24"/>
        </w:rPr>
        <w:t>、定额</w:t>
      </w:r>
      <w:r>
        <w:rPr>
          <w:rFonts w:ascii="Times New Roman" w:hAnsi="Times New Roman"/>
          <w:spacing w:val="20"/>
          <w:sz w:val="24"/>
          <w:szCs w:val="24"/>
        </w:rPr>
        <w:t>单位</w:t>
      </w:r>
      <w:r>
        <w:rPr>
          <w:rFonts w:hint="eastAsia" w:ascii="Times New Roman" w:hAnsi="Times New Roman"/>
          <w:spacing w:val="20"/>
          <w:sz w:val="24"/>
          <w:szCs w:val="24"/>
        </w:rPr>
        <w:t>及</w:t>
      </w:r>
      <w:r>
        <w:rPr>
          <w:rFonts w:ascii="Times New Roman" w:hAnsi="Times New Roman"/>
          <w:spacing w:val="20"/>
          <w:sz w:val="24"/>
          <w:szCs w:val="24"/>
        </w:rPr>
        <w:t>备注</w:t>
      </w:r>
      <w:r>
        <w:rPr>
          <w:rFonts w:hint="eastAsia" w:ascii="Times New Roman" w:hAnsi="Times New Roman"/>
          <w:spacing w:val="20"/>
          <w:sz w:val="24"/>
          <w:szCs w:val="24"/>
        </w:rPr>
        <w:t>内容</w:t>
      </w:r>
      <w:r>
        <w:rPr>
          <w:rFonts w:ascii="Times New Roman" w:hAnsi="Times New Roman"/>
          <w:spacing w:val="20"/>
          <w:sz w:val="24"/>
          <w:szCs w:val="24"/>
        </w:rPr>
        <w:t>；</w:t>
      </w:r>
    </w:p>
    <w:p w14:paraId="307AE1E4">
      <w:pPr>
        <w:spacing w:line="360" w:lineRule="auto"/>
        <w:ind w:firstLine="560" w:firstLineChars="200"/>
        <w:rPr>
          <w:rFonts w:ascii="Times New Roman" w:hAnsi="Times New Roman"/>
          <w:spacing w:val="20"/>
          <w:sz w:val="24"/>
          <w:szCs w:val="24"/>
        </w:rPr>
      </w:pPr>
      <w:r>
        <w:rPr>
          <w:rFonts w:ascii="Times New Roman" w:hAnsi="Times New Roman"/>
          <w:spacing w:val="20"/>
          <w:sz w:val="24"/>
          <w:szCs w:val="24"/>
        </w:rPr>
        <w:t>——</w:t>
      </w:r>
      <w:r>
        <w:rPr>
          <w:rFonts w:hint="eastAsia" w:ascii="Times New Roman" w:hAnsi="Times New Roman"/>
          <w:spacing w:val="20"/>
          <w:sz w:val="24"/>
          <w:szCs w:val="24"/>
        </w:rPr>
        <w:t>修订了用</w:t>
      </w:r>
      <w:r>
        <w:rPr>
          <w:rFonts w:ascii="Times New Roman" w:hAnsi="Times New Roman"/>
          <w:spacing w:val="20"/>
          <w:sz w:val="24"/>
          <w:szCs w:val="24"/>
        </w:rPr>
        <w:t>水定额</w:t>
      </w:r>
      <w:r>
        <w:rPr>
          <w:rFonts w:hint="eastAsia" w:ascii="Times New Roman" w:hAnsi="Times New Roman"/>
          <w:spacing w:val="20"/>
          <w:sz w:val="24"/>
          <w:szCs w:val="24"/>
        </w:rPr>
        <w:t>值；</w:t>
      </w:r>
    </w:p>
    <w:p w14:paraId="1340ADAB">
      <w:pPr>
        <w:spacing w:line="360" w:lineRule="auto"/>
        <w:ind w:firstLine="560" w:firstLineChars="200"/>
        <w:rPr>
          <w:rFonts w:ascii="Times New Roman" w:hAnsi="Times New Roman"/>
          <w:spacing w:val="20"/>
          <w:sz w:val="24"/>
          <w:szCs w:val="24"/>
        </w:rPr>
      </w:pPr>
      <w:r>
        <w:rPr>
          <w:rFonts w:ascii="Times New Roman" w:hAnsi="Times New Roman"/>
          <w:spacing w:val="20"/>
          <w:sz w:val="24"/>
          <w:szCs w:val="24"/>
        </w:rPr>
        <w:t>——增加</w:t>
      </w:r>
      <w:r>
        <w:rPr>
          <w:rFonts w:hint="eastAsia" w:ascii="Times New Roman" w:hAnsi="Times New Roman"/>
          <w:spacing w:val="20"/>
          <w:sz w:val="24"/>
          <w:szCs w:val="24"/>
        </w:rPr>
        <w:t>了用</w:t>
      </w:r>
      <w:r>
        <w:rPr>
          <w:rFonts w:ascii="Times New Roman" w:hAnsi="Times New Roman"/>
          <w:spacing w:val="20"/>
          <w:sz w:val="24"/>
          <w:szCs w:val="24"/>
        </w:rPr>
        <w:t>水定额适用条件</w:t>
      </w:r>
      <w:r>
        <w:rPr>
          <w:rFonts w:hint="eastAsia" w:ascii="Times New Roman" w:hAnsi="Times New Roman"/>
          <w:spacing w:val="20"/>
          <w:sz w:val="24"/>
          <w:szCs w:val="24"/>
        </w:rPr>
        <w:t>；</w:t>
      </w:r>
    </w:p>
    <w:p w14:paraId="13C120B0">
      <w:pPr>
        <w:spacing w:line="360" w:lineRule="auto"/>
        <w:ind w:firstLine="560" w:firstLineChars="200"/>
        <w:rPr>
          <w:rFonts w:ascii="Times New Roman" w:hAnsi="Times New Roman"/>
          <w:spacing w:val="20"/>
          <w:sz w:val="24"/>
          <w:szCs w:val="24"/>
        </w:rPr>
      </w:pPr>
      <w:r>
        <w:rPr>
          <w:rFonts w:ascii="Times New Roman" w:hAnsi="Times New Roman"/>
          <w:spacing w:val="20"/>
          <w:sz w:val="24"/>
          <w:szCs w:val="24"/>
        </w:rPr>
        <w:t>——</w:t>
      </w:r>
      <w:r>
        <w:rPr>
          <w:rFonts w:hint="eastAsia" w:ascii="Times New Roman" w:hAnsi="Times New Roman"/>
          <w:spacing w:val="20"/>
          <w:sz w:val="24"/>
          <w:szCs w:val="24"/>
        </w:rPr>
        <w:t>修订了农业中的水稻、玉米、花生、薯芋类蔬菜的用水定额；</w:t>
      </w:r>
    </w:p>
    <w:p w14:paraId="609820E4">
      <w:pPr>
        <w:spacing w:line="360" w:lineRule="auto"/>
        <w:ind w:firstLine="560" w:firstLineChars="200"/>
        <w:rPr>
          <w:rFonts w:ascii="Times New Roman" w:hAnsi="Times New Roman"/>
          <w:spacing w:val="20"/>
          <w:sz w:val="24"/>
          <w:szCs w:val="24"/>
        </w:rPr>
      </w:pPr>
      <w:r>
        <w:rPr>
          <w:rFonts w:ascii="Times New Roman" w:hAnsi="Times New Roman"/>
          <w:spacing w:val="20"/>
          <w:sz w:val="24"/>
          <w:szCs w:val="24"/>
        </w:rPr>
        <w:t>——</w:t>
      </w:r>
      <w:r>
        <w:rPr>
          <w:rFonts w:hint="eastAsia" w:ascii="Times New Roman" w:hAnsi="Times New Roman"/>
          <w:spacing w:val="20"/>
          <w:sz w:val="24"/>
          <w:szCs w:val="24"/>
        </w:rPr>
        <w:t>增加了</w:t>
      </w:r>
      <w:r>
        <w:rPr>
          <w:rFonts w:hint="eastAsia" w:ascii="Times New Roman" w:hAnsi="Times New Roman"/>
          <w:sz w:val="24"/>
        </w:rPr>
        <w:t>中药材种植中</w:t>
      </w:r>
      <w:r>
        <w:rPr>
          <w:rFonts w:hint="eastAsia" w:ascii="Times New Roman" w:hAnsi="Times New Roman"/>
          <w:spacing w:val="20"/>
          <w:sz w:val="24"/>
          <w:szCs w:val="24"/>
        </w:rPr>
        <w:t>人参</w:t>
      </w:r>
      <w:bookmarkStart w:id="3" w:name="OLE_LINK25"/>
      <w:bookmarkStart w:id="4" w:name="OLE_LINK24"/>
      <w:r>
        <w:rPr>
          <w:rFonts w:hint="eastAsia" w:ascii="Times New Roman" w:hAnsi="Times New Roman"/>
          <w:spacing w:val="20"/>
          <w:sz w:val="24"/>
          <w:szCs w:val="24"/>
        </w:rPr>
        <w:t>的用水定额</w:t>
      </w:r>
      <w:bookmarkEnd w:id="3"/>
      <w:bookmarkEnd w:id="4"/>
      <w:r>
        <w:rPr>
          <w:rFonts w:hint="eastAsia" w:ascii="Times New Roman" w:hAnsi="Times New Roman"/>
          <w:spacing w:val="20"/>
          <w:sz w:val="24"/>
          <w:szCs w:val="24"/>
        </w:rPr>
        <w:t>；</w:t>
      </w:r>
    </w:p>
    <w:p w14:paraId="44734540">
      <w:pPr>
        <w:spacing w:line="360" w:lineRule="auto"/>
        <w:ind w:firstLine="560" w:firstLineChars="200"/>
        <w:rPr>
          <w:rFonts w:ascii="Times New Roman" w:hAnsi="Times New Roman"/>
          <w:spacing w:val="20"/>
          <w:sz w:val="24"/>
          <w:szCs w:val="24"/>
        </w:rPr>
      </w:pPr>
      <w:r>
        <w:rPr>
          <w:rFonts w:ascii="Times New Roman" w:hAnsi="Times New Roman"/>
          <w:spacing w:val="20"/>
          <w:sz w:val="24"/>
          <w:szCs w:val="24"/>
        </w:rPr>
        <w:t>——</w:t>
      </w:r>
      <w:r>
        <w:rPr>
          <w:rFonts w:hint="eastAsia" w:ascii="Times New Roman" w:hAnsi="Times New Roman"/>
          <w:spacing w:val="20"/>
          <w:sz w:val="24"/>
          <w:szCs w:val="24"/>
        </w:rPr>
        <w:t>将农业中的设施农业用水定额按作物类别进行了划分，补充制定了设施农业绿叶类蔬菜、豆类蔬菜、瓜类蔬菜、茄果类蔬菜、葡萄、蓝莓、草莓、西瓜、花卉、食用菌类的用水定额；</w:t>
      </w:r>
    </w:p>
    <w:p w14:paraId="5642FBBB">
      <w:pPr>
        <w:spacing w:line="360" w:lineRule="auto"/>
        <w:ind w:firstLine="560" w:firstLineChars="200"/>
        <w:rPr>
          <w:rFonts w:ascii="Times New Roman" w:hAnsi="Times New Roman"/>
          <w:spacing w:val="20"/>
          <w:sz w:val="24"/>
          <w:szCs w:val="24"/>
        </w:rPr>
      </w:pPr>
      <w:r>
        <w:rPr>
          <w:rFonts w:ascii="Times New Roman" w:hAnsi="Times New Roman"/>
          <w:spacing w:val="20"/>
          <w:sz w:val="24"/>
          <w:szCs w:val="24"/>
        </w:rPr>
        <w:t>——</w:t>
      </w:r>
      <w:bookmarkStart w:id="5" w:name="OLE_LINK234"/>
      <w:bookmarkStart w:id="6" w:name="OLE_LINK233"/>
      <w:r>
        <w:rPr>
          <w:rFonts w:hint="eastAsia" w:ascii="Times New Roman" w:hAnsi="Times New Roman"/>
          <w:spacing w:val="20"/>
          <w:sz w:val="24"/>
          <w:szCs w:val="24"/>
        </w:rPr>
        <w:t>增加了</w:t>
      </w:r>
      <w:bookmarkEnd w:id="5"/>
      <w:bookmarkEnd w:id="6"/>
      <w:r>
        <w:rPr>
          <w:rFonts w:hint="eastAsia" w:ascii="Times New Roman" w:hAnsi="Times New Roman"/>
          <w:spacing w:val="20"/>
          <w:sz w:val="24"/>
          <w:szCs w:val="24"/>
        </w:rPr>
        <w:t>牛的饲养（犊牛）的用水定额；</w:t>
      </w:r>
    </w:p>
    <w:p w14:paraId="054383B2">
      <w:pPr>
        <w:spacing w:line="360" w:lineRule="auto"/>
        <w:ind w:firstLine="560" w:firstLineChars="200"/>
        <w:rPr>
          <w:rFonts w:ascii="Times New Roman" w:hAnsi="Times New Roman"/>
          <w:spacing w:val="20"/>
          <w:sz w:val="24"/>
          <w:szCs w:val="24"/>
        </w:rPr>
      </w:pPr>
      <w:r>
        <w:rPr>
          <w:rFonts w:ascii="Times New Roman" w:hAnsi="Times New Roman"/>
          <w:spacing w:val="20"/>
          <w:sz w:val="24"/>
          <w:szCs w:val="24"/>
        </w:rPr>
        <w:t>——</w:t>
      </w:r>
      <w:r>
        <w:rPr>
          <w:rFonts w:hint="eastAsia" w:ascii="Times New Roman" w:hAnsi="Times New Roman"/>
          <w:spacing w:val="20"/>
          <w:sz w:val="24"/>
          <w:szCs w:val="24"/>
        </w:rPr>
        <w:t>修订了奶牛、育成牛、育肥猪、母猪等4种畜禽的用水定额；</w:t>
      </w:r>
    </w:p>
    <w:p w14:paraId="3D9A0E49">
      <w:pPr>
        <w:spacing w:line="360" w:lineRule="auto"/>
        <w:ind w:firstLine="560" w:firstLineChars="200"/>
        <w:rPr>
          <w:rFonts w:ascii="Times New Roman" w:hAnsi="Times New Roman"/>
          <w:spacing w:val="20"/>
          <w:sz w:val="24"/>
          <w:szCs w:val="24"/>
        </w:rPr>
      </w:pPr>
      <w:r>
        <w:rPr>
          <w:rFonts w:ascii="Times New Roman" w:hAnsi="Times New Roman"/>
          <w:spacing w:val="20"/>
          <w:sz w:val="24"/>
          <w:szCs w:val="24"/>
        </w:rPr>
        <w:t>——</w:t>
      </w:r>
      <w:r>
        <w:rPr>
          <w:rFonts w:hint="eastAsia" w:ascii="Times New Roman" w:hAnsi="Times New Roman"/>
          <w:spacing w:val="20"/>
          <w:sz w:val="24"/>
          <w:szCs w:val="24"/>
        </w:rPr>
        <w:t>删除了工业用水定额领跑值；</w:t>
      </w:r>
    </w:p>
    <w:p w14:paraId="653C2153">
      <w:pPr>
        <w:spacing w:line="360" w:lineRule="auto"/>
        <w:ind w:firstLine="560" w:firstLineChars="200"/>
        <w:rPr>
          <w:rFonts w:ascii="Times New Roman" w:hAnsi="Times New Roman"/>
          <w:color w:val="000000" w:themeColor="text1"/>
          <w:spacing w:val="20"/>
          <w:sz w:val="24"/>
          <w:szCs w:val="24"/>
          <w14:textFill>
            <w14:solidFill>
              <w14:schemeClr w14:val="tx1"/>
            </w14:solidFill>
          </w14:textFill>
        </w:rPr>
      </w:pPr>
      <w:bookmarkStart w:id="7" w:name="OLE_LINK15"/>
      <w:r>
        <w:rPr>
          <w:rFonts w:ascii="Times New Roman" w:hAnsi="Times New Roman"/>
          <w:color w:val="000000" w:themeColor="text1"/>
          <w:spacing w:val="20"/>
          <w:sz w:val="24"/>
          <w:szCs w:val="24"/>
          <w14:textFill>
            <w14:solidFill>
              <w14:schemeClr w14:val="tx1"/>
            </w14:solidFill>
          </w14:textFill>
        </w:rPr>
        <w:t>——</w:t>
      </w:r>
      <w:r>
        <w:rPr>
          <w:rFonts w:hint="eastAsia" w:ascii="Times New Roman" w:hAnsi="Times New Roman"/>
          <w:color w:val="000000" w:themeColor="text1"/>
          <w:spacing w:val="20"/>
          <w:sz w:val="24"/>
          <w:szCs w:val="24"/>
          <w14:textFill>
            <w14:solidFill>
              <w14:schemeClr w14:val="tx1"/>
            </w14:solidFill>
          </w14:textFill>
        </w:rPr>
        <w:t>修订了烟煤和无烟煤的开采洗选的选煤用水定额；</w:t>
      </w:r>
    </w:p>
    <w:p w14:paraId="339CA882">
      <w:pPr>
        <w:spacing w:line="360" w:lineRule="auto"/>
        <w:ind w:firstLine="560" w:firstLineChars="200"/>
        <w:rPr>
          <w:rFonts w:ascii="Times New Roman" w:hAnsi="Times New Roman"/>
          <w:color w:val="000000" w:themeColor="text1"/>
          <w:spacing w:val="20"/>
          <w:sz w:val="24"/>
          <w:szCs w:val="24"/>
          <w14:textFill>
            <w14:solidFill>
              <w14:schemeClr w14:val="tx1"/>
            </w14:solidFill>
          </w14:textFill>
        </w:rPr>
      </w:pPr>
      <w:r>
        <w:rPr>
          <w:rFonts w:ascii="Times New Roman" w:hAnsi="Times New Roman"/>
          <w:color w:val="000000" w:themeColor="text1"/>
          <w:spacing w:val="20"/>
          <w:sz w:val="24"/>
          <w:szCs w:val="24"/>
          <w14:textFill>
            <w14:solidFill>
              <w14:schemeClr w14:val="tx1"/>
            </w14:solidFill>
          </w14:textFill>
        </w:rPr>
        <w:t>——</w:t>
      </w:r>
      <w:r>
        <w:rPr>
          <w:rFonts w:hint="eastAsia" w:ascii="Times New Roman" w:hAnsi="Times New Roman"/>
          <w:color w:val="000000" w:themeColor="text1"/>
          <w:spacing w:val="20"/>
          <w:sz w:val="24"/>
          <w:szCs w:val="24"/>
          <w14:textFill>
            <w14:solidFill>
              <w14:schemeClr w14:val="tx1"/>
            </w14:solidFill>
          </w14:textFill>
        </w:rPr>
        <w:t>修订了陆地石油开采的天然原油开采用水定额；</w:t>
      </w:r>
    </w:p>
    <w:p w14:paraId="376B448B">
      <w:pPr>
        <w:spacing w:line="360" w:lineRule="auto"/>
        <w:ind w:firstLine="560" w:firstLineChars="200"/>
        <w:rPr>
          <w:rFonts w:ascii="Times New Roman" w:hAnsi="Times New Roman"/>
          <w:color w:val="000000" w:themeColor="text1"/>
          <w:spacing w:val="20"/>
          <w:sz w:val="24"/>
          <w:szCs w:val="24"/>
          <w14:textFill>
            <w14:solidFill>
              <w14:schemeClr w14:val="tx1"/>
            </w14:solidFill>
          </w14:textFill>
        </w:rPr>
      </w:pPr>
      <w:r>
        <w:rPr>
          <w:rFonts w:ascii="Times New Roman" w:hAnsi="Times New Roman"/>
          <w:color w:val="000000" w:themeColor="text1"/>
          <w:spacing w:val="20"/>
          <w:sz w:val="24"/>
          <w:szCs w:val="24"/>
          <w14:textFill>
            <w14:solidFill>
              <w14:schemeClr w14:val="tx1"/>
            </w14:solidFill>
          </w14:textFill>
        </w:rPr>
        <w:t>——</w:t>
      </w:r>
      <w:r>
        <w:rPr>
          <w:rFonts w:hint="eastAsia" w:ascii="Times New Roman" w:hAnsi="Times New Roman"/>
          <w:color w:val="000000" w:themeColor="text1"/>
          <w:spacing w:val="20"/>
          <w:sz w:val="24"/>
          <w:szCs w:val="24"/>
          <w14:textFill>
            <w14:solidFill>
              <w14:schemeClr w14:val="tx1"/>
            </w14:solidFill>
          </w14:textFill>
        </w:rPr>
        <w:t>修订了陆地天然气开采的天然气开采用水定额</w:t>
      </w:r>
      <w:bookmarkEnd w:id="7"/>
      <w:r>
        <w:rPr>
          <w:rFonts w:hint="eastAsia" w:ascii="Times New Roman" w:hAnsi="Times New Roman"/>
          <w:color w:val="000000" w:themeColor="text1"/>
          <w:spacing w:val="20"/>
          <w:sz w:val="24"/>
          <w:szCs w:val="24"/>
          <w14:textFill>
            <w14:solidFill>
              <w14:schemeClr w14:val="tx1"/>
            </w14:solidFill>
          </w14:textFill>
        </w:rPr>
        <w:t>；</w:t>
      </w:r>
    </w:p>
    <w:p w14:paraId="0B6C07CF">
      <w:pPr>
        <w:spacing w:line="360" w:lineRule="auto"/>
        <w:ind w:firstLine="560" w:firstLineChars="200"/>
        <w:rPr>
          <w:rFonts w:ascii="Times New Roman" w:hAnsi="Times New Roman"/>
          <w:color w:val="000000" w:themeColor="text1"/>
          <w:spacing w:val="20"/>
          <w:sz w:val="24"/>
          <w:szCs w:val="24"/>
          <w14:textFill>
            <w14:solidFill>
              <w14:schemeClr w14:val="tx1"/>
            </w14:solidFill>
          </w14:textFill>
        </w:rPr>
      </w:pPr>
      <w:r>
        <w:rPr>
          <w:rFonts w:ascii="Times New Roman" w:hAnsi="Times New Roman"/>
          <w:color w:val="000000" w:themeColor="text1"/>
          <w:spacing w:val="20"/>
          <w:sz w:val="24"/>
          <w:szCs w:val="24"/>
          <w14:textFill>
            <w14:solidFill>
              <w14:schemeClr w14:val="tx1"/>
            </w14:solidFill>
          </w14:textFill>
        </w:rPr>
        <w:t>——</w:t>
      </w:r>
      <w:r>
        <w:rPr>
          <w:rFonts w:hint="eastAsia" w:ascii="Times New Roman" w:hAnsi="Times New Roman"/>
          <w:color w:val="000000" w:themeColor="text1"/>
          <w:spacing w:val="20"/>
          <w:sz w:val="24"/>
          <w:szCs w:val="24"/>
          <w14:textFill>
            <w14:solidFill>
              <w14:schemeClr w14:val="tx1"/>
            </w14:solidFill>
          </w14:textFill>
        </w:rPr>
        <w:t>修订了铅锌矿采选的铅锌矿选矿用水定额；</w:t>
      </w:r>
    </w:p>
    <w:p w14:paraId="0F16A348">
      <w:pPr>
        <w:spacing w:line="360" w:lineRule="auto"/>
        <w:ind w:firstLine="560" w:firstLineChars="200"/>
        <w:rPr>
          <w:rFonts w:ascii="Times New Roman" w:hAnsi="Times New Roman"/>
          <w:color w:val="000000" w:themeColor="text1"/>
          <w:spacing w:val="20"/>
          <w:sz w:val="24"/>
          <w:szCs w:val="24"/>
          <w14:textFill>
            <w14:solidFill>
              <w14:schemeClr w14:val="tx1"/>
            </w14:solidFill>
          </w14:textFill>
        </w:rPr>
      </w:pPr>
      <w:r>
        <w:rPr>
          <w:rFonts w:ascii="Times New Roman" w:hAnsi="Times New Roman"/>
          <w:color w:val="000000" w:themeColor="text1"/>
          <w:spacing w:val="20"/>
          <w:sz w:val="24"/>
          <w:szCs w:val="24"/>
          <w14:textFill>
            <w14:solidFill>
              <w14:schemeClr w14:val="tx1"/>
            </w14:solidFill>
          </w14:textFill>
        </w:rPr>
        <w:t>——</w:t>
      </w:r>
      <w:r>
        <w:rPr>
          <w:rFonts w:hint="eastAsia" w:ascii="Times New Roman" w:hAnsi="Times New Roman"/>
          <w:color w:val="000000" w:themeColor="text1"/>
          <w:spacing w:val="20"/>
          <w:sz w:val="24"/>
          <w:szCs w:val="24"/>
          <w14:textFill>
            <w14:solidFill>
              <w14:schemeClr w14:val="tx1"/>
            </w14:solidFill>
          </w14:textFill>
        </w:rPr>
        <w:t>增加了金矿采选的</w:t>
      </w:r>
      <w:r>
        <w:rPr>
          <w:rFonts w:hint="eastAsia" w:ascii="Times New Roman" w:hAnsi="Times New Roman"/>
          <w:color w:val="000000" w:themeColor="text1"/>
          <w:spacing w:val="20"/>
          <w:sz w:val="24"/>
          <w:szCs w:val="24"/>
          <w14:textFill>
            <w14:solidFill>
              <w14:schemeClr w14:val="tx1"/>
            </w14:solidFill>
          </w14:textFill>
        </w:rPr>
        <w:tab/>
      </w:r>
      <w:r>
        <w:rPr>
          <w:rFonts w:hint="eastAsia" w:ascii="Times New Roman" w:hAnsi="Times New Roman"/>
          <w:color w:val="000000" w:themeColor="text1"/>
          <w:spacing w:val="20"/>
          <w:sz w:val="24"/>
          <w:szCs w:val="24"/>
          <w14:textFill>
            <w14:solidFill>
              <w14:schemeClr w14:val="tx1"/>
            </w14:solidFill>
          </w14:textFill>
        </w:rPr>
        <w:t>金矿开采和</w:t>
      </w:r>
      <w:r>
        <w:rPr>
          <w:rFonts w:hint="eastAsia" w:ascii="Times New Roman" w:hAnsi="Times New Roman"/>
          <w:color w:val="000000" w:themeColor="text1"/>
          <w:spacing w:val="20"/>
          <w:sz w:val="24"/>
          <w:szCs w:val="24"/>
          <w14:textFill>
            <w14:solidFill>
              <w14:schemeClr w14:val="tx1"/>
            </w14:solidFill>
          </w14:textFill>
        </w:rPr>
        <w:tab/>
      </w:r>
      <w:r>
        <w:rPr>
          <w:rFonts w:hint="eastAsia" w:ascii="Times New Roman" w:hAnsi="Times New Roman"/>
          <w:color w:val="000000" w:themeColor="text1"/>
          <w:spacing w:val="20"/>
          <w:sz w:val="24"/>
          <w:szCs w:val="24"/>
          <w14:textFill>
            <w14:solidFill>
              <w14:schemeClr w14:val="tx1"/>
            </w14:solidFill>
          </w14:textFill>
        </w:rPr>
        <w:t>金矿选矿用水定额；</w:t>
      </w:r>
    </w:p>
    <w:p w14:paraId="6D064EC9">
      <w:pPr>
        <w:spacing w:line="360" w:lineRule="auto"/>
        <w:ind w:firstLine="560" w:firstLineChars="200"/>
        <w:rPr>
          <w:rFonts w:ascii="Times New Roman" w:hAnsi="Times New Roman"/>
          <w:color w:val="000000" w:themeColor="text1"/>
          <w:spacing w:val="20"/>
          <w:sz w:val="24"/>
          <w:szCs w:val="24"/>
          <w14:textFill>
            <w14:solidFill>
              <w14:schemeClr w14:val="tx1"/>
            </w14:solidFill>
          </w14:textFill>
        </w:rPr>
      </w:pPr>
      <w:r>
        <w:rPr>
          <w:rFonts w:ascii="Times New Roman" w:hAnsi="Times New Roman"/>
          <w:color w:val="000000" w:themeColor="text1"/>
          <w:spacing w:val="20"/>
          <w:sz w:val="24"/>
          <w:szCs w:val="24"/>
          <w14:textFill>
            <w14:solidFill>
              <w14:schemeClr w14:val="tx1"/>
            </w14:solidFill>
          </w14:textFill>
        </w:rPr>
        <w:t>——</w:t>
      </w:r>
      <w:r>
        <w:rPr>
          <w:rFonts w:hint="eastAsia" w:ascii="Times New Roman" w:hAnsi="Times New Roman"/>
          <w:color w:val="000000" w:themeColor="text1"/>
          <w:spacing w:val="20"/>
          <w:sz w:val="24"/>
          <w:szCs w:val="24"/>
          <w14:textFill>
            <w14:solidFill>
              <w14:schemeClr w14:val="tx1"/>
            </w14:solidFill>
          </w14:textFill>
        </w:rPr>
        <w:t>修订了化学矿开采的硼矿开采用水定额；</w:t>
      </w:r>
    </w:p>
    <w:p w14:paraId="4B43F98D">
      <w:pPr>
        <w:spacing w:line="360" w:lineRule="auto"/>
        <w:ind w:firstLine="560" w:firstLineChars="200"/>
        <w:rPr>
          <w:rFonts w:ascii="Times New Roman" w:hAnsi="Times New Roman"/>
          <w:color w:val="000000" w:themeColor="text1"/>
          <w:spacing w:val="20"/>
          <w:sz w:val="24"/>
          <w:szCs w:val="24"/>
          <w14:textFill>
            <w14:solidFill>
              <w14:schemeClr w14:val="tx1"/>
            </w14:solidFill>
          </w14:textFill>
        </w:rPr>
      </w:pPr>
      <w:r>
        <w:rPr>
          <w:rFonts w:ascii="Times New Roman" w:hAnsi="Times New Roman"/>
          <w:color w:val="000000" w:themeColor="text1"/>
          <w:spacing w:val="20"/>
          <w:sz w:val="24"/>
          <w:szCs w:val="24"/>
          <w14:textFill>
            <w14:solidFill>
              <w14:schemeClr w14:val="tx1"/>
            </w14:solidFill>
          </w14:textFill>
        </w:rPr>
        <w:t>——</w:t>
      </w:r>
      <w:r>
        <w:rPr>
          <w:rFonts w:hint="eastAsia" w:ascii="Times New Roman" w:hAnsi="Times New Roman"/>
          <w:color w:val="000000" w:themeColor="text1"/>
          <w:spacing w:val="20"/>
          <w:sz w:val="24"/>
          <w:szCs w:val="24"/>
          <w14:textFill>
            <w14:solidFill>
              <w14:schemeClr w14:val="tx1"/>
            </w14:solidFill>
          </w14:textFill>
        </w:rPr>
        <w:t>增加了化学矿开采的硼矿选矿用水定额；</w:t>
      </w:r>
    </w:p>
    <w:p w14:paraId="20CECAA3">
      <w:pPr>
        <w:spacing w:line="360" w:lineRule="auto"/>
        <w:ind w:firstLine="560" w:firstLineChars="200"/>
        <w:rPr>
          <w:rFonts w:ascii="Times New Roman" w:hAnsi="Times New Roman"/>
          <w:color w:val="000000" w:themeColor="text1"/>
          <w:spacing w:val="20"/>
          <w:sz w:val="24"/>
          <w:szCs w:val="24"/>
          <w14:textFill>
            <w14:solidFill>
              <w14:schemeClr w14:val="tx1"/>
            </w14:solidFill>
          </w14:textFill>
        </w:rPr>
      </w:pPr>
      <w:r>
        <w:rPr>
          <w:rFonts w:ascii="Times New Roman" w:hAnsi="Times New Roman"/>
          <w:color w:val="000000" w:themeColor="text1"/>
          <w:spacing w:val="20"/>
          <w:sz w:val="24"/>
          <w:szCs w:val="24"/>
          <w14:textFill>
            <w14:solidFill>
              <w14:schemeClr w14:val="tx1"/>
            </w14:solidFill>
          </w14:textFill>
        </w:rPr>
        <w:t>——</w:t>
      </w:r>
      <w:r>
        <w:rPr>
          <w:rFonts w:hint="eastAsia" w:ascii="Times New Roman" w:hAnsi="Times New Roman"/>
          <w:color w:val="000000" w:themeColor="text1"/>
          <w:spacing w:val="20"/>
          <w:sz w:val="24"/>
          <w:szCs w:val="24"/>
          <w14:textFill>
            <w14:solidFill>
              <w14:schemeClr w14:val="tx1"/>
            </w14:solidFill>
          </w14:textFill>
        </w:rPr>
        <w:t>修订了其他饲料加工</w:t>
      </w:r>
      <w:r>
        <w:rPr>
          <w:rFonts w:hint="eastAsia" w:ascii="Times New Roman" w:hAnsi="Times New Roman"/>
          <w:color w:val="000000" w:themeColor="text1"/>
          <w:spacing w:val="20"/>
          <w:sz w:val="24"/>
          <w:szCs w:val="24"/>
          <w14:textFill>
            <w14:solidFill>
              <w14:schemeClr w14:val="tx1"/>
            </w14:solidFill>
          </w14:textFill>
        </w:rPr>
        <w:tab/>
      </w:r>
      <w:r>
        <w:rPr>
          <w:rFonts w:hint="eastAsia" w:ascii="Times New Roman" w:hAnsi="Times New Roman"/>
          <w:color w:val="000000" w:themeColor="text1"/>
          <w:spacing w:val="20"/>
          <w:sz w:val="24"/>
          <w:szCs w:val="24"/>
          <w14:textFill>
            <w14:solidFill>
              <w14:schemeClr w14:val="tx1"/>
            </w14:solidFill>
          </w14:textFill>
        </w:rPr>
        <w:t>的饲料用水定额；</w:t>
      </w:r>
    </w:p>
    <w:p w14:paraId="0543A006">
      <w:pPr>
        <w:spacing w:line="360" w:lineRule="auto"/>
        <w:ind w:firstLine="56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pacing w:val="20"/>
          <w:sz w:val="24"/>
          <w:szCs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增加了</w:t>
      </w:r>
      <w:r>
        <w:rPr>
          <w:rFonts w:hint="eastAsia" w:ascii="Times New Roman" w:hAnsi="Times New Roman"/>
          <w:color w:val="000000" w:themeColor="text1"/>
          <w:sz w:val="24"/>
          <w14:textFill>
            <w14:solidFill>
              <w14:schemeClr w14:val="tx1"/>
            </w14:solidFill>
          </w14:textFill>
        </w:rPr>
        <w:t>蔬菜加工的酸菜用水定额；</w:t>
      </w:r>
    </w:p>
    <w:p w14:paraId="691897B5">
      <w:pPr>
        <w:spacing w:line="360" w:lineRule="auto"/>
        <w:ind w:firstLine="560" w:firstLineChars="200"/>
        <w:rPr>
          <w:rFonts w:ascii="Times New Roman" w:hAnsi="Times New Roman"/>
          <w:color w:val="000000" w:themeColor="text1"/>
          <w:spacing w:val="20"/>
          <w:sz w:val="24"/>
          <w:szCs w:val="24"/>
          <w14:textFill>
            <w14:solidFill>
              <w14:schemeClr w14:val="tx1"/>
            </w14:solidFill>
          </w14:textFill>
        </w:rPr>
      </w:pPr>
      <w:r>
        <w:rPr>
          <w:rFonts w:ascii="Times New Roman" w:hAnsi="Times New Roman"/>
          <w:color w:val="000000" w:themeColor="text1"/>
          <w:spacing w:val="20"/>
          <w:sz w:val="24"/>
          <w:szCs w:val="24"/>
          <w14:textFill>
            <w14:solidFill>
              <w14:schemeClr w14:val="tx1"/>
            </w14:solidFill>
          </w14:textFill>
        </w:rPr>
        <w:t>——</w:t>
      </w:r>
      <w:r>
        <w:rPr>
          <w:rFonts w:hint="eastAsia" w:ascii="Times New Roman" w:hAnsi="Times New Roman"/>
          <w:color w:val="000000" w:themeColor="text1"/>
          <w:spacing w:val="20"/>
          <w:sz w:val="24"/>
          <w:szCs w:val="24"/>
          <w14:textFill>
            <w14:solidFill>
              <w14:schemeClr w14:val="tx1"/>
            </w14:solidFill>
          </w14:textFill>
        </w:rPr>
        <w:t>修订了方便面的用水定额；</w:t>
      </w:r>
    </w:p>
    <w:p w14:paraId="0E469FCF">
      <w:pPr>
        <w:spacing w:line="360" w:lineRule="auto"/>
        <w:ind w:firstLine="560" w:firstLineChars="200"/>
        <w:rPr>
          <w:rFonts w:ascii="Times New Roman" w:hAnsi="Times New Roman"/>
          <w:color w:val="000000" w:themeColor="text1"/>
          <w:spacing w:val="20"/>
          <w:sz w:val="24"/>
          <w:szCs w:val="24"/>
          <w14:textFill>
            <w14:solidFill>
              <w14:schemeClr w14:val="tx1"/>
            </w14:solidFill>
          </w14:textFill>
        </w:rPr>
      </w:pPr>
      <w:r>
        <w:rPr>
          <w:rFonts w:ascii="Times New Roman" w:hAnsi="Times New Roman"/>
          <w:color w:val="000000" w:themeColor="text1"/>
          <w:spacing w:val="20"/>
          <w:sz w:val="24"/>
          <w:szCs w:val="24"/>
          <w14:textFill>
            <w14:solidFill>
              <w14:schemeClr w14:val="tx1"/>
            </w14:solidFill>
          </w14:textFill>
        </w:rPr>
        <w:t>——</w:t>
      </w:r>
      <w:r>
        <w:rPr>
          <w:rFonts w:hint="eastAsia" w:ascii="Times New Roman" w:hAnsi="Times New Roman"/>
          <w:color w:val="000000" w:themeColor="text1"/>
          <w:spacing w:val="20"/>
          <w:sz w:val="24"/>
          <w:szCs w:val="24"/>
          <w14:textFill>
            <w14:solidFill>
              <w14:schemeClr w14:val="tx1"/>
            </w14:solidFill>
          </w14:textFill>
        </w:rPr>
        <w:t>修订了液体乳制造的产品名称和用水定额；</w:t>
      </w:r>
    </w:p>
    <w:p w14:paraId="7C1A4739">
      <w:pPr>
        <w:spacing w:line="360" w:lineRule="auto"/>
        <w:ind w:firstLine="560" w:firstLineChars="200"/>
        <w:rPr>
          <w:rFonts w:ascii="Times New Roman" w:hAnsi="Times New Roman"/>
          <w:color w:val="000000" w:themeColor="text1"/>
          <w:spacing w:val="20"/>
          <w:sz w:val="24"/>
          <w:szCs w:val="24"/>
          <w14:textFill>
            <w14:solidFill>
              <w14:schemeClr w14:val="tx1"/>
            </w14:solidFill>
          </w14:textFill>
        </w:rPr>
      </w:pPr>
      <w:r>
        <w:rPr>
          <w:rFonts w:ascii="Times New Roman" w:hAnsi="Times New Roman"/>
          <w:color w:val="000000" w:themeColor="text1"/>
          <w:spacing w:val="20"/>
          <w:sz w:val="24"/>
          <w:szCs w:val="24"/>
          <w14:textFill>
            <w14:solidFill>
              <w14:schemeClr w14:val="tx1"/>
            </w14:solidFill>
          </w14:textFill>
        </w:rPr>
        <w:t>——</w:t>
      </w:r>
      <w:r>
        <w:rPr>
          <w:rFonts w:hint="eastAsia" w:ascii="Times New Roman" w:hAnsi="Times New Roman"/>
          <w:color w:val="000000" w:themeColor="text1"/>
          <w:spacing w:val="20"/>
          <w:sz w:val="24"/>
          <w:szCs w:val="24"/>
          <w14:textFill>
            <w14:solidFill>
              <w14:schemeClr w14:val="tx1"/>
            </w14:solidFill>
          </w14:textFill>
        </w:rPr>
        <w:t>修订了乳粉制造的乳粉用水定额；</w:t>
      </w:r>
    </w:p>
    <w:p w14:paraId="13379347">
      <w:pPr>
        <w:spacing w:line="360" w:lineRule="auto"/>
        <w:ind w:firstLine="56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pacing w:val="20"/>
          <w:sz w:val="24"/>
          <w:szCs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增加了</w:t>
      </w:r>
      <w:r>
        <w:rPr>
          <w:rFonts w:hint="eastAsia" w:ascii="Times New Roman" w:hAnsi="Times New Roman"/>
          <w:color w:val="000000" w:themeColor="text1"/>
          <w:sz w:val="24"/>
          <w14:textFill>
            <w14:solidFill>
              <w14:schemeClr w14:val="tx1"/>
            </w14:solidFill>
          </w14:textFill>
        </w:rPr>
        <w:t>其他乳制品制造的炼乳和再制干酪用水定额；</w:t>
      </w:r>
    </w:p>
    <w:p w14:paraId="5D9E687A">
      <w:pPr>
        <w:spacing w:line="360" w:lineRule="auto"/>
        <w:ind w:firstLine="560" w:firstLineChars="200"/>
        <w:rPr>
          <w:rFonts w:ascii="Times New Roman" w:hAnsi="Times New Roman"/>
          <w:color w:val="000000" w:themeColor="text1"/>
          <w:spacing w:val="20"/>
          <w:sz w:val="24"/>
          <w:szCs w:val="24"/>
          <w14:textFill>
            <w14:solidFill>
              <w14:schemeClr w14:val="tx1"/>
            </w14:solidFill>
          </w14:textFill>
        </w:rPr>
      </w:pPr>
      <w:r>
        <w:rPr>
          <w:rFonts w:ascii="Times New Roman" w:hAnsi="Times New Roman"/>
          <w:color w:val="000000" w:themeColor="text1"/>
          <w:spacing w:val="20"/>
          <w:sz w:val="24"/>
          <w:szCs w:val="24"/>
          <w14:textFill>
            <w14:solidFill>
              <w14:schemeClr w14:val="tx1"/>
            </w14:solidFill>
          </w14:textFill>
        </w:rPr>
        <w:t>——</w:t>
      </w:r>
      <w:r>
        <w:rPr>
          <w:rFonts w:hint="eastAsia" w:ascii="Times New Roman" w:hAnsi="Times New Roman"/>
          <w:color w:val="000000" w:themeColor="text1"/>
          <w:spacing w:val="20"/>
          <w:sz w:val="24"/>
          <w:szCs w:val="24"/>
          <w14:textFill>
            <w14:solidFill>
              <w14:schemeClr w14:val="tx1"/>
            </w14:solidFill>
          </w14:textFill>
        </w:rPr>
        <w:t>修订了罐头食品制造的肉、禽类罐头，水产品罐头，蔬菜、水果罐头，其他罐头用水定额；</w:t>
      </w:r>
    </w:p>
    <w:p w14:paraId="4F81AA67">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z w:val="24"/>
        </w:rPr>
        <w:t>修订了味精制造的用水定额；</w:t>
      </w:r>
    </w:p>
    <w:p w14:paraId="02F7C3A0">
      <w:pPr>
        <w:spacing w:line="360" w:lineRule="auto"/>
        <w:ind w:firstLine="560" w:firstLineChars="200"/>
        <w:rPr>
          <w:rFonts w:ascii="Times New Roman" w:hAnsi="Times New Roman"/>
          <w:color w:val="FF0000"/>
          <w:spacing w:val="20"/>
          <w:sz w:val="24"/>
          <w:szCs w:val="24"/>
        </w:rPr>
      </w:pPr>
      <w:r>
        <w:rPr>
          <w:rFonts w:ascii="Times New Roman" w:hAnsi="Times New Roman"/>
          <w:spacing w:val="20"/>
          <w:sz w:val="24"/>
          <w:szCs w:val="24"/>
        </w:rPr>
        <w:t>——</w:t>
      </w:r>
      <w:r>
        <w:rPr>
          <w:rFonts w:hint="eastAsia" w:ascii="Times New Roman" w:hAnsi="Times New Roman"/>
          <w:sz w:val="24"/>
        </w:rPr>
        <w:t>修订了酱油、食醋及类似制品的制造的酱油、食醋用水定额；</w:t>
      </w:r>
    </w:p>
    <w:p w14:paraId="31C194A6">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z w:val="24"/>
        </w:rPr>
        <w:t>修订了其他调味品、发酵制品制造中的酵母制品、酵母衍生制品、柠檬酸用水定额；</w:t>
      </w:r>
    </w:p>
    <w:p w14:paraId="2E4A9C9B">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z w:val="24"/>
        </w:rPr>
        <w:t>修订了冷冻饮品及食用冰制造的雪糕、冰棍、冰淇淋用水定额；</w:t>
      </w:r>
    </w:p>
    <w:p w14:paraId="586973EC">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z w:val="24"/>
        </w:rPr>
        <w:t>修订了酒精制造的产品名称和用水定额；</w:t>
      </w:r>
    </w:p>
    <w:p w14:paraId="23407528">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z w:val="24"/>
        </w:rPr>
        <w:t>修订了白酒制造、啤酒制造、葡萄酒制造的用水定额；</w:t>
      </w:r>
    </w:p>
    <w:p w14:paraId="56A3443F">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ascii="Times New Roman" w:hAnsi="Times New Roman"/>
          <w:sz w:val="24"/>
        </w:rPr>
        <w:t>修订了</w:t>
      </w:r>
      <w:r>
        <w:rPr>
          <w:rFonts w:hint="eastAsia" w:ascii="Times New Roman" w:hAnsi="Times New Roman"/>
          <w:sz w:val="24"/>
        </w:rPr>
        <w:t>碳酸饮料制造的用水定额；</w:t>
      </w:r>
    </w:p>
    <w:p w14:paraId="221DE4AF">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ascii="Times New Roman" w:hAnsi="Times New Roman"/>
          <w:sz w:val="24"/>
        </w:rPr>
        <w:t>修订了</w:t>
      </w:r>
      <w:r>
        <w:rPr>
          <w:rFonts w:hint="eastAsia" w:ascii="Times New Roman" w:hAnsi="Times New Roman"/>
          <w:sz w:val="24"/>
        </w:rPr>
        <w:t>瓶（罐）装饮用水制造中的产品名称和用水定额；</w:t>
      </w:r>
    </w:p>
    <w:p w14:paraId="4D20B38F">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ascii="Times New Roman" w:hAnsi="Times New Roman"/>
          <w:sz w:val="24"/>
        </w:rPr>
        <w:t>修订了</w:t>
      </w:r>
      <w:r>
        <w:rPr>
          <w:rFonts w:hint="eastAsia" w:ascii="Times New Roman" w:hAnsi="Times New Roman"/>
          <w:sz w:val="24"/>
        </w:rPr>
        <w:t>果菜汁及果菜汁饮料制造中的产品名称和用水定额；</w:t>
      </w:r>
    </w:p>
    <w:p w14:paraId="03CFEA81">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z w:val="24"/>
        </w:rPr>
        <w:t>修订了含乳饮料和植物蛋白饮料制造的产品名称和用水定额；</w:t>
      </w:r>
    </w:p>
    <w:p w14:paraId="664CF39F">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z w:val="24"/>
        </w:rPr>
        <w:t>修订了茶饮料及其他饮料制造的产品名称和用水定额；</w:t>
      </w:r>
    </w:p>
    <w:p w14:paraId="058424B3">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z w:val="24"/>
        </w:rPr>
        <w:t>修订了卷烟制造的用水定额；</w:t>
      </w:r>
    </w:p>
    <w:p w14:paraId="5383DFF9">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z w:val="24"/>
        </w:rPr>
        <w:t>增加了棉印染精加工的棉印染产品、化纤印染产品和棉、化纤混纺印染产品用水定额；</w:t>
      </w:r>
    </w:p>
    <w:p w14:paraId="73C88674">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z w:val="24"/>
        </w:rPr>
        <w:t>修订了毛条和毛纱线加工的洗净毛条和炭化毛用水定额；</w:t>
      </w:r>
    </w:p>
    <w:p w14:paraId="5BA1C34A">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ascii="Times New Roman" w:hAnsi="Times New Roman"/>
          <w:sz w:val="24"/>
        </w:rPr>
        <w:t>修订了</w:t>
      </w:r>
      <w:r>
        <w:rPr>
          <w:rFonts w:hint="eastAsia" w:ascii="Times New Roman" w:hAnsi="Times New Roman"/>
          <w:sz w:val="24"/>
        </w:rPr>
        <w:t>毛织造加工中的产品名称和用水定额；</w:t>
      </w:r>
    </w:p>
    <w:p w14:paraId="5683A686">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ascii="Times New Roman" w:hAnsi="Times New Roman"/>
          <w:sz w:val="24"/>
        </w:rPr>
        <w:t>修订了</w:t>
      </w:r>
      <w:r>
        <w:rPr>
          <w:rFonts w:hint="eastAsia" w:ascii="Times New Roman" w:hAnsi="Times New Roman"/>
          <w:sz w:val="24"/>
        </w:rPr>
        <w:t>毛皮鞣制加工行业代码、羊皮的用水定额；</w:t>
      </w:r>
    </w:p>
    <w:p w14:paraId="4EB93068">
      <w:pPr>
        <w:spacing w:line="360" w:lineRule="auto"/>
        <w:ind w:firstLine="560" w:firstLineChars="200"/>
        <w:rPr>
          <w:rFonts w:ascii="Times New Roman" w:hAnsi="Times New Roman"/>
          <w:spacing w:val="20"/>
          <w:sz w:val="24"/>
          <w:szCs w:val="24"/>
        </w:rPr>
      </w:pPr>
      <w:r>
        <w:rPr>
          <w:rFonts w:hint="eastAsia" w:ascii="Times New Roman" w:hAnsi="Times New Roman"/>
          <w:spacing w:val="20"/>
          <w:sz w:val="24"/>
          <w:szCs w:val="24"/>
        </w:rPr>
        <w:t>——增加了木竹浆制造中溶解级木浆、漂白化学竹浆、溶解级竹浆、本色化学竹浆的用水定额；</w:t>
      </w:r>
    </w:p>
    <w:p w14:paraId="5683BA60">
      <w:pPr>
        <w:spacing w:line="360" w:lineRule="auto"/>
        <w:ind w:firstLine="560" w:firstLineChars="200"/>
        <w:rPr>
          <w:rFonts w:ascii="Times New Roman" w:hAnsi="Times New Roman"/>
          <w:spacing w:val="20"/>
          <w:sz w:val="24"/>
          <w:szCs w:val="24"/>
        </w:rPr>
      </w:pPr>
      <w:r>
        <w:rPr>
          <w:rFonts w:hint="eastAsia" w:ascii="Times New Roman" w:hAnsi="Times New Roman"/>
          <w:spacing w:val="20"/>
          <w:sz w:val="24"/>
          <w:szCs w:val="24"/>
        </w:rPr>
        <w:t>——修订了木竹浆制造中漂白化学木浆、本色化学木浆、化学机械木浆的用水定额；</w:t>
      </w:r>
    </w:p>
    <w:p w14:paraId="71DF2F03">
      <w:pPr>
        <w:spacing w:line="360" w:lineRule="auto"/>
        <w:ind w:firstLine="560" w:firstLineChars="200"/>
        <w:rPr>
          <w:rFonts w:ascii="Times New Roman" w:hAnsi="Times New Roman"/>
          <w:spacing w:val="20"/>
          <w:sz w:val="24"/>
          <w:szCs w:val="24"/>
        </w:rPr>
      </w:pPr>
      <w:r>
        <w:rPr>
          <w:rFonts w:hint="eastAsia" w:ascii="Times New Roman" w:hAnsi="Times New Roman"/>
          <w:spacing w:val="20"/>
          <w:sz w:val="24"/>
          <w:szCs w:val="24"/>
        </w:rPr>
        <w:t>——增加了非木竹浆制造中漂白脱墨废纸浆的用水定额；</w:t>
      </w:r>
    </w:p>
    <w:p w14:paraId="780A4D1D">
      <w:pPr>
        <w:spacing w:line="360" w:lineRule="auto"/>
        <w:ind w:firstLine="560" w:firstLineChars="200"/>
        <w:rPr>
          <w:rFonts w:ascii="Times New Roman" w:hAnsi="Times New Roman"/>
          <w:sz w:val="24"/>
        </w:rPr>
      </w:pPr>
      <w:r>
        <w:rPr>
          <w:rFonts w:hint="eastAsia" w:ascii="Times New Roman" w:hAnsi="Times New Roman"/>
          <w:spacing w:val="20"/>
          <w:sz w:val="24"/>
          <w:szCs w:val="24"/>
        </w:rPr>
        <w:t>——修订了非木竹浆制造中漂白化学非木浆、脱墨废纸浆、未脱墨废纸浆的用水定额；</w:t>
      </w:r>
    </w:p>
    <w:p w14:paraId="11FCF1DC">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z w:val="24"/>
        </w:rPr>
        <w:t>修订了机制纸及纸板制造的箱纸板、白纸板、瓦楞原纸、新闻纸、未涂布印刷书写纸、生活用纸的用水定额；</w:t>
      </w:r>
    </w:p>
    <w:p w14:paraId="52F323FC">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z w:val="24"/>
        </w:rPr>
        <w:t>修订了煤制合成气生产中煤制合成天然气的用水定额；</w:t>
      </w:r>
    </w:p>
    <w:p w14:paraId="112DB315">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z w:val="24"/>
        </w:rPr>
        <w:t>修订了无机酸制造中工业硫酸、盐酸、湿法磷酸的用水定额；</w:t>
      </w:r>
    </w:p>
    <w:p w14:paraId="24EB201D">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z w:val="24"/>
        </w:rPr>
        <w:t>修订了有机化学原料制造中环氧丙烷的用水定额；</w:t>
      </w:r>
    </w:p>
    <w:p w14:paraId="44E60A4C">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z w:val="24"/>
        </w:rPr>
        <w:t>增加</w:t>
      </w:r>
      <w:r>
        <w:rPr>
          <w:rFonts w:ascii="Times New Roman" w:hAnsi="Times New Roman"/>
          <w:sz w:val="24"/>
        </w:rPr>
        <w:t>了</w:t>
      </w:r>
      <w:r>
        <w:rPr>
          <w:rFonts w:hint="eastAsia" w:ascii="Times New Roman" w:hAnsi="Times New Roman"/>
          <w:sz w:val="24"/>
        </w:rPr>
        <w:t>有机化学原料制造中赖氨酸盐、TDI、丁酯、己二酸、DOP、丁二烯、环氧乙烷的用水定额；</w:t>
      </w:r>
    </w:p>
    <w:p w14:paraId="55389550">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z w:val="24"/>
        </w:rPr>
        <w:t xml:space="preserve">修订了有机化学原料制造中精对苯二甲酸、醋酸乙烯、有机硅的用水定额； </w:t>
      </w:r>
    </w:p>
    <w:p w14:paraId="25691F86">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z w:val="24"/>
        </w:rPr>
        <w:t>修订了氮肥制造中尿素、碳酸氢铵、氯化铵、氨水、碳铵、磷酸氢钙、磷酸一铵、磷酸二铵、磷酸氢二氨、硝酸磷肥、过磷酸钙、重过磷酸钙的用水定额；</w:t>
      </w:r>
    </w:p>
    <w:p w14:paraId="45245E0B">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z w:val="24"/>
        </w:rPr>
        <w:t>修订了工业颜料制造中钛白粉的用水定额；</w:t>
      </w:r>
    </w:p>
    <w:p w14:paraId="40285FCA">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z w:val="24"/>
        </w:rPr>
        <w:t>修订了染料制造中分散染料、还原染料、有机染料的用水定额；</w:t>
      </w:r>
    </w:p>
    <w:p w14:paraId="7B17DD99">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z w:val="24"/>
        </w:rPr>
        <w:t>修订了初级形态的塑料及合成树脂制造中乙烯、丙烯的用水定额；</w:t>
      </w:r>
    </w:p>
    <w:p w14:paraId="2660911C">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z w:val="24"/>
        </w:rPr>
        <w:t>修订了合成橡胶制造中</w:t>
      </w:r>
      <w:r>
        <w:rPr>
          <w:rFonts w:hint="eastAsia" w:ascii="Times New Roman" w:hAnsi="Times New Roman"/>
          <w:sz w:val="24"/>
        </w:rPr>
        <w:tab/>
      </w:r>
      <w:r>
        <w:rPr>
          <w:rFonts w:hint="eastAsia" w:ascii="Times New Roman" w:hAnsi="Times New Roman"/>
          <w:sz w:val="24"/>
        </w:rPr>
        <w:tab/>
      </w:r>
      <w:r>
        <w:rPr>
          <w:rFonts w:hint="eastAsia" w:ascii="Times New Roman" w:hAnsi="Times New Roman"/>
          <w:sz w:val="24"/>
        </w:rPr>
        <w:t>硅橡胶、丁苯橡胶、</w:t>
      </w:r>
      <w:r>
        <w:rPr>
          <w:rFonts w:hint="eastAsia" w:ascii="Times New Roman" w:hAnsi="Times New Roman"/>
          <w:sz w:val="24"/>
        </w:rPr>
        <w:tab/>
      </w:r>
      <w:r>
        <w:rPr>
          <w:rFonts w:hint="eastAsia" w:ascii="Times New Roman" w:hAnsi="Times New Roman"/>
          <w:sz w:val="24"/>
        </w:rPr>
        <w:t>混炼胶的用水定额；</w:t>
      </w:r>
    </w:p>
    <w:p w14:paraId="6157ABF3">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z w:val="24"/>
        </w:rPr>
        <w:t>修订了肥皂及合成洗涤剂制造中</w:t>
      </w:r>
      <w:r>
        <w:rPr>
          <w:rFonts w:hint="eastAsia" w:ascii="Times New Roman" w:hAnsi="Times New Roman"/>
          <w:sz w:val="24"/>
        </w:rPr>
        <w:tab/>
      </w:r>
      <w:r>
        <w:rPr>
          <w:rFonts w:hint="eastAsia" w:ascii="Times New Roman" w:hAnsi="Times New Roman"/>
          <w:sz w:val="24"/>
        </w:rPr>
        <w:tab/>
      </w:r>
      <w:r>
        <w:rPr>
          <w:rFonts w:hint="eastAsia" w:ascii="Times New Roman" w:hAnsi="Times New Roman"/>
          <w:sz w:val="24"/>
        </w:rPr>
        <w:t>肥皂、洗涤剂、洗衣粉的用水定额；</w:t>
      </w:r>
    </w:p>
    <w:p w14:paraId="534B5E00">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z w:val="24"/>
        </w:rPr>
        <w:t>修订了化学药品原料药制造中维生素C（化学原料药）、维生素B2、维生素E、青霉素工业盐（化学药物中间体）的用水定额；</w:t>
      </w:r>
    </w:p>
    <w:p w14:paraId="239E935A">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z w:val="24"/>
        </w:rPr>
        <w:t>增加</w:t>
      </w:r>
      <w:r>
        <w:rPr>
          <w:rFonts w:ascii="Times New Roman" w:hAnsi="Times New Roman"/>
          <w:sz w:val="24"/>
        </w:rPr>
        <w:t>了</w:t>
      </w:r>
      <w:r>
        <w:rPr>
          <w:rFonts w:hint="eastAsia" w:ascii="Times New Roman" w:hAnsi="Times New Roman"/>
          <w:sz w:val="24"/>
        </w:rPr>
        <w:t>基因工程药物和疫苗制造中人用狂犬病疫苗的用水定额；</w:t>
      </w:r>
    </w:p>
    <w:p w14:paraId="470D21F9">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z w:val="24"/>
        </w:rPr>
        <w:t>修订了人造纤维制造中粘胶长丝、粘胶短纤维的用水定额；</w:t>
      </w:r>
    </w:p>
    <w:p w14:paraId="30AFC475">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z w:val="24"/>
        </w:rPr>
        <w:t>修订了人轮胎制造中轮胎外胎、轮胎内胎、翻新轮胎的用水定额；</w:t>
      </w:r>
    </w:p>
    <w:p w14:paraId="3B73FAA9">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z w:val="24"/>
        </w:rPr>
        <w:t>修订了水泥制造中水泥的用水定额；</w:t>
      </w:r>
    </w:p>
    <w:p w14:paraId="22BF27CE">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z w:val="24"/>
        </w:rPr>
        <w:t>修订了建筑用石加工中天然石材的用水定额；</w:t>
      </w:r>
    </w:p>
    <w:p w14:paraId="63980E6D">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pacing w:val="20"/>
          <w:sz w:val="24"/>
          <w:szCs w:val="24"/>
        </w:rPr>
        <w:t>增加了</w:t>
      </w:r>
      <w:r>
        <w:rPr>
          <w:rFonts w:hint="eastAsia" w:ascii="Times New Roman" w:hAnsi="Times New Roman"/>
          <w:sz w:val="24"/>
        </w:rPr>
        <w:t>建筑用石加工中合成石材的用水定额；</w:t>
      </w:r>
    </w:p>
    <w:p w14:paraId="39143DBD">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z w:val="24"/>
        </w:rPr>
        <w:t>修订了平板玻璃制造中平板玻璃的用水定额；</w:t>
      </w:r>
    </w:p>
    <w:p w14:paraId="46F24424">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z w:val="24"/>
        </w:rPr>
        <w:t>修订了耐火陶瓷制品及其他耐火材料制造中耐火材料、耐火砖的用水定额；</w:t>
      </w:r>
    </w:p>
    <w:p w14:paraId="03024E4F">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z w:val="24"/>
        </w:rPr>
        <w:t>增加了其他非金属矿物制造中硅片、单晶硅棒的用水定额；</w:t>
      </w:r>
    </w:p>
    <w:p w14:paraId="159CDF9A">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z w:val="24"/>
        </w:rPr>
        <w:t>增加了炼铁中烧结余热发电、烧结脱硫、球团脱硫的用水定额；</w:t>
      </w:r>
    </w:p>
    <w:p w14:paraId="02936760">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z w:val="24"/>
        </w:rPr>
        <w:t>修订了炼铁中生铁的产品名称；</w:t>
      </w:r>
    </w:p>
    <w:p w14:paraId="27339729">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z w:val="24"/>
        </w:rPr>
        <w:t>修订了铁合金冶炼中高铬合金、硅锰合金、硼铁合金、锰铁合金、硅铁合金的用水定额；</w:t>
      </w:r>
    </w:p>
    <w:p w14:paraId="62B59A5C">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z w:val="24"/>
        </w:rPr>
        <w:t>修订了铝冶炼中氧化铝的用水定额；</w:t>
      </w:r>
    </w:p>
    <w:p w14:paraId="5E4CF8A1">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z w:val="24"/>
        </w:rPr>
        <w:t>修订了镁冶炼中镁冶炼、轻烧氧化镁的用水定额；</w:t>
      </w:r>
    </w:p>
    <w:p w14:paraId="261608E9">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z w:val="24"/>
        </w:rPr>
        <w:t>修订了铝压延加工中铝材的用水定额；</w:t>
      </w:r>
    </w:p>
    <w:p w14:paraId="514B9B15">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z w:val="24"/>
        </w:rPr>
        <w:t>修订了金属切削机床制造中机床的用水定额；</w:t>
      </w:r>
    </w:p>
    <w:p w14:paraId="37E7C0CB">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z w:val="24"/>
        </w:rPr>
        <w:t>修订了轴承制造中轴承的用水定额；</w:t>
      </w:r>
    </w:p>
    <w:p w14:paraId="57ABC92B">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z w:val="24"/>
        </w:rPr>
        <w:t>修订了汽车整车制造中大型客车、中型卡车、轻型货车、轿车的用水定额；</w:t>
      </w:r>
    </w:p>
    <w:p w14:paraId="72188EFD">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z w:val="24"/>
        </w:rPr>
        <w:t>修订了电动机制造中电动机的用水定额；</w:t>
      </w:r>
    </w:p>
    <w:p w14:paraId="1F8C5600">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z w:val="24"/>
        </w:rPr>
        <w:t>修订了家用制冷电器具制造中电冰箱的用水定额；</w:t>
      </w:r>
    </w:p>
    <w:p w14:paraId="1E225425">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z w:val="24"/>
        </w:rPr>
        <w:t>修订了家用影视设备制造中彩色电视机的用水定额；</w:t>
      </w:r>
    </w:p>
    <w:p w14:paraId="65A54EF3">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z w:val="24"/>
        </w:rPr>
        <w:t>修订了核力发电中核力发电企业的用水定额；</w:t>
      </w:r>
    </w:p>
    <w:p w14:paraId="2B813E01">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z w:val="24"/>
        </w:rPr>
        <w:t>增加了风力发电的用水定额；</w:t>
      </w:r>
    </w:p>
    <w:p w14:paraId="5CAA18F5">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z w:val="24"/>
        </w:rPr>
        <w:t>增加了太阳能发电中光伏的用水定额；</w:t>
      </w:r>
    </w:p>
    <w:p w14:paraId="117514C7">
      <w:pPr>
        <w:spacing w:line="360" w:lineRule="auto"/>
        <w:ind w:firstLine="560" w:firstLineChars="200"/>
        <w:rPr>
          <w:rFonts w:ascii="Times New Roman" w:hAnsi="Times New Roman"/>
          <w:sz w:val="24"/>
        </w:rPr>
      </w:pPr>
      <w:r>
        <w:rPr>
          <w:rFonts w:ascii="Times New Roman" w:hAnsi="Times New Roman"/>
          <w:spacing w:val="20"/>
          <w:sz w:val="24"/>
          <w:szCs w:val="24"/>
        </w:rPr>
        <w:t>——</w:t>
      </w:r>
      <w:r>
        <w:rPr>
          <w:rFonts w:hint="eastAsia" w:ascii="Times New Roman" w:hAnsi="Times New Roman"/>
          <w:sz w:val="24"/>
        </w:rPr>
        <w:t>增加了热力生产和供应中换热站的用水定额；</w:t>
      </w:r>
    </w:p>
    <w:p w14:paraId="2507A0F8">
      <w:pPr>
        <w:spacing w:line="360" w:lineRule="auto"/>
        <w:ind w:firstLine="560" w:firstLineChars="200"/>
        <w:rPr>
          <w:rFonts w:ascii="Times New Roman" w:hAnsi="Times New Roman"/>
          <w:spacing w:val="20"/>
          <w:sz w:val="24"/>
          <w:szCs w:val="24"/>
        </w:rPr>
      </w:pPr>
      <w:r>
        <w:rPr>
          <w:rFonts w:ascii="Times New Roman" w:hAnsi="Times New Roman"/>
          <w:spacing w:val="20"/>
          <w:sz w:val="24"/>
          <w:szCs w:val="24"/>
        </w:rPr>
        <w:t>——</w:t>
      </w:r>
      <w:r>
        <w:rPr>
          <w:rFonts w:hint="eastAsia" w:ascii="Times New Roman" w:hAnsi="Times New Roman"/>
          <w:spacing w:val="20"/>
          <w:sz w:val="24"/>
          <w:szCs w:val="24"/>
        </w:rPr>
        <w:t>修订了住宅房屋建筑的用水定额；</w:t>
      </w:r>
    </w:p>
    <w:p w14:paraId="4DE8ACDF">
      <w:pPr>
        <w:spacing w:line="360" w:lineRule="auto"/>
        <w:ind w:firstLine="560" w:firstLineChars="200"/>
        <w:rPr>
          <w:rFonts w:ascii="Times New Roman" w:hAnsi="Times New Roman"/>
          <w:spacing w:val="20"/>
          <w:sz w:val="24"/>
          <w:szCs w:val="24"/>
        </w:rPr>
      </w:pPr>
      <w:r>
        <w:rPr>
          <w:rFonts w:ascii="Times New Roman" w:hAnsi="Times New Roman"/>
          <w:spacing w:val="20"/>
          <w:sz w:val="24"/>
          <w:szCs w:val="24"/>
        </w:rPr>
        <w:t>——</w:t>
      </w:r>
      <w:r>
        <w:rPr>
          <w:rFonts w:hint="eastAsia" w:ascii="Times New Roman" w:hAnsi="Times New Roman"/>
          <w:spacing w:val="20"/>
          <w:sz w:val="24"/>
          <w:szCs w:val="24"/>
        </w:rPr>
        <w:t>增加了体育场馆建筑（体育场、体育馆）的用水定额；</w:t>
      </w:r>
    </w:p>
    <w:p w14:paraId="1E3861F4">
      <w:pPr>
        <w:spacing w:line="360" w:lineRule="auto"/>
        <w:ind w:firstLine="560" w:firstLineChars="200"/>
        <w:rPr>
          <w:rFonts w:ascii="Times New Roman" w:hAnsi="Times New Roman"/>
          <w:spacing w:val="20"/>
          <w:sz w:val="24"/>
          <w:szCs w:val="24"/>
        </w:rPr>
      </w:pPr>
      <w:r>
        <w:rPr>
          <w:rFonts w:ascii="Times New Roman" w:hAnsi="Times New Roman"/>
          <w:spacing w:val="20"/>
          <w:sz w:val="24"/>
          <w:szCs w:val="24"/>
        </w:rPr>
        <w:t>——</w:t>
      </w:r>
      <w:r>
        <w:rPr>
          <w:rFonts w:hint="eastAsia" w:ascii="Times New Roman" w:hAnsi="Times New Roman"/>
          <w:spacing w:val="20"/>
          <w:sz w:val="24"/>
          <w:szCs w:val="24"/>
        </w:rPr>
        <w:t>修订了住宅装饰和装修（民用建筑）的用水定额；</w:t>
      </w:r>
    </w:p>
    <w:p w14:paraId="5BAE1A77">
      <w:pPr>
        <w:spacing w:line="360" w:lineRule="auto"/>
        <w:ind w:firstLine="560" w:firstLineChars="200"/>
        <w:rPr>
          <w:rFonts w:ascii="Times New Roman" w:hAnsi="Times New Roman"/>
          <w:spacing w:val="20"/>
          <w:sz w:val="24"/>
          <w:szCs w:val="24"/>
        </w:rPr>
      </w:pPr>
      <w:bookmarkStart w:id="8" w:name="OLE_LINK22"/>
      <w:bookmarkStart w:id="9" w:name="OLE_LINK21"/>
      <w:r>
        <w:rPr>
          <w:rFonts w:ascii="Times New Roman" w:hAnsi="Times New Roman"/>
          <w:spacing w:val="20"/>
          <w:sz w:val="24"/>
          <w:szCs w:val="24"/>
        </w:rPr>
        <w:t>——</w:t>
      </w:r>
      <w:r>
        <w:rPr>
          <w:rFonts w:hint="eastAsia" w:ascii="Times New Roman" w:hAnsi="Times New Roman"/>
          <w:spacing w:val="20"/>
          <w:sz w:val="24"/>
          <w:szCs w:val="24"/>
        </w:rPr>
        <w:t>修订了百货零售（百货店、大型超市）的用水定额；</w:t>
      </w:r>
    </w:p>
    <w:p w14:paraId="62BA97B3">
      <w:pPr>
        <w:spacing w:line="360" w:lineRule="auto"/>
        <w:ind w:firstLine="560" w:firstLineChars="200"/>
        <w:rPr>
          <w:rFonts w:ascii="Times New Roman" w:hAnsi="Times New Roman"/>
          <w:spacing w:val="20"/>
          <w:sz w:val="24"/>
          <w:szCs w:val="24"/>
        </w:rPr>
      </w:pPr>
      <w:r>
        <w:rPr>
          <w:rFonts w:ascii="Times New Roman" w:hAnsi="Times New Roman"/>
          <w:spacing w:val="20"/>
          <w:sz w:val="24"/>
          <w:szCs w:val="24"/>
        </w:rPr>
        <w:t>——</w:t>
      </w:r>
      <w:r>
        <w:rPr>
          <w:rFonts w:hint="eastAsia" w:ascii="Times New Roman" w:hAnsi="Times New Roman"/>
          <w:spacing w:val="20"/>
          <w:sz w:val="24"/>
          <w:szCs w:val="24"/>
        </w:rPr>
        <w:t>增加了道路运输辅助活动（客运汽车站、货运枢纽（站）、高速公路服务区）的用水定额；</w:t>
      </w:r>
    </w:p>
    <w:p w14:paraId="20193979">
      <w:pPr>
        <w:spacing w:line="360" w:lineRule="auto"/>
        <w:ind w:firstLine="560" w:firstLineChars="200"/>
        <w:rPr>
          <w:rFonts w:ascii="Times New Roman" w:hAnsi="Times New Roman"/>
          <w:spacing w:val="20"/>
          <w:sz w:val="24"/>
          <w:szCs w:val="24"/>
        </w:rPr>
      </w:pPr>
      <w:r>
        <w:rPr>
          <w:rFonts w:ascii="Times New Roman" w:hAnsi="Times New Roman"/>
          <w:spacing w:val="20"/>
          <w:sz w:val="24"/>
          <w:szCs w:val="24"/>
        </w:rPr>
        <w:t>——</w:t>
      </w:r>
      <w:r>
        <w:rPr>
          <w:rFonts w:hint="eastAsia" w:ascii="Times New Roman" w:hAnsi="Times New Roman"/>
          <w:spacing w:val="20"/>
          <w:sz w:val="24"/>
          <w:szCs w:val="24"/>
        </w:rPr>
        <w:t>增加了城市轨道交通（地铁站）的用水定额；</w:t>
      </w:r>
    </w:p>
    <w:p w14:paraId="6554CE5D">
      <w:pPr>
        <w:spacing w:line="360" w:lineRule="auto"/>
        <w:ind w:firstLine="560" w:firstLineChars="200"/>
        <w:rPr>
          <w:rFonts w:ascii="Times New Roman" w:hAnsi="Times New Roman"/>
          <w:spacing w:val="20"/>
          <w:sz w:val="24"/>
          <w:szCs w:val="24"/>
        </w:rPr>
      </w:pPr>
      <w:r>
        <w:rPr>
          <w:rFonts w:ascii="Times New Roman" w:hAnsi="Times New Roman"/>
          <w:spacing w:val="20"/>
          <w:sz w:val="24"/>
          <w:szCs w:val="24"/>
        </w:rPr>
        <w:t>——</w:t>
      </w:r>
      <w:r>
        <w:rPr>
          <w:rFonts w:hint="eastAsia" w:ascii="Times New Roman" w:hAnsi="Times New Roman"/>
          <w:spacing w:val="20"/>
          <w:sz w:val="24"/>
          <w:szCs w:val="24"/>
        </w:rPr>
        <w:t>增加了铁路运输辅助活动（火车站）的用水定额；</w:t>
      </w:r>
    </w:p>
    <w:p w14:paraId="450C27C7">
      <w:pPr>
        <w:spacing w:line="360" w:lineRule="auto"/>
        <w:ind w:firstLine="560" w:firstLineChars="200"/>
        <w:rPr>
          <w:rFonts w:ascii="Times New Roman" w:hAnsi="Times New Roman"/>
          <w:spacing w:val="20"/>
          <w:sz w:val="24"/>
          <w:szCs w:val="24"/>
        </w:rPr>
      </w:pPr>
      <w:r>
        <w:rPr>
          <w:rFonts w:ascii="Times New Roman" w:hAnsi="Times New Roman"/>
          <w:spacing w:val="20"/>
          <w:sz w:val="24"/>
          <w:szCs w:val="24"/>
        </w:rPr>
        <w:t>——</w:t>
      </w:r>
      <w:r>
        <w:rPr>
          <w:rFonts w:hint="eastAsia" w:ascii="Times New Roman" w:hAnsi="Times New Roman"/>
          <w:spacing w:val="20"/>
          <w:sz w:val="24"/>
          <w:szCs w:val="24"/>
        </w:rPr>
        <w:t>修订了旅游饭店、其他一般旅馆的用水定额；</w:t>
      </w:r>
    </w:p>
    <w:p w14:paraId="4BCC9307">
      <w:pPr>
        <w:spacing w:line="360" w:lineRule="auto"/>
        <w:ind w:firstLine="560" w:firstLineChars="200"/>
        <w:rPr>
          <w:rFonts w:ascii="Times New Roman" w:hAnsi="Times New Roman"/>
          <w:spacing w:val="20"/>
          <w:sz w:val="24"/>
          <w:szCs w:val="24"/>
        </w:rPr>
      </w:pPr>
      <w:r>
        <w:rPr>
          <w:rFonts w:ascii="Times New Roman" w:hAnsi="Times New Roman"/>
          <w:spacing w:val="20"/>
          <w:sz w:val="24"/>
          <w:szCs w:val="24"/>
        </w:rPr>
        <w:t>——</w:t>
      </w:r>
      <w:r>
        <w:rPr>
          <w:rFonts w:hint="eastAsia" w:ascii="Times New Roman" w:hAnsi="Times New Roman"/>
          <w:spacing w:val="20"/>
          <w:sz w:val="24"/>
          <w:szCs w:val="24"/>
        </w:rPr>
        <w:t>修订了正餐服务、快餐服务的用水定额；增加了快餐服务（饮料及冷饮服务）用水定额、其他餐饮业用水定额；</w:t>
      </w:r>
    </w:p>
    <w:p w14:paraId="410F8E3D">
      <w:pPr>
        <w:spacing w:line="360" w:lineRule="auto"/>
        <w:ind w:firstLine="560" w:firstLineChars="200"/>
        <w:rPr>
          <w:rFonts w:ascii="Times New Roman" w:hAnsi="Times New Roman"/>
          <w:spacing w:val="20"/>
          <w:sz w:val="24"/>
          <w:szCs w:val="24"/>
        </w:rPr>
      </w:pPr>
      <w:r>
        <w:rPr>
          <w:rFonts w:ascii="Times New Roman" w:hAnsi="Times New Roman"/>
          <w:spacing w:val="20"/>
          <w:sz w:val="24"/>
          <w:szCs w:val="24"/>
        </w:rPr>
        <w:t>——</w:t>
      </w:r>
      <w:r>
        <w:rPr>
          <w:rFonts w:hint="eastAsia" w:ascii="Times New Roman" w:hAnsi="Times New Roman"/>
          <w:spacing w:val="20"/>
          <w:sz w:val="24"/>
          <w:szCs w:val="24"/>
        </w:rPr>
        <w:t>修订了环境卫生管理、绿化管理的用水定额；</w:t>
      </w:r>
    </w:p>
    <w:p w14:paraId="1E07DA01">
      <w:pPr>
        <w:spacing w:line="360" w:lineRule="auto"/>
        <w:ind w:firstLine="560" w:firstLineChars="200"/>
        <w:rPr>
          <w:rFonts w:ascii="Times New Roman" w:hAnsi="Times New Roman"/>
          <w:spacing w:val="20"/>
          <w:sz w:val="24"/>
          <w:szCs w:val="24"/>
        </w:rPr>
      </w:pPr>
      <w:r>
        <w:rPr>
          <w:rFonts w:hint="eastAsia" w:ascii="Times New Roman" w:hAnsi="Times New Roman"/>
          <w:spacing w:val="20"/>
          <w:sz w:val="24"/>
          <w:szCs w:val="24"/>
        </w:rPr>
        <w:t>——修订了洗染服务、理发及美容服务、洗浴服务、汽车修理与维护的用水定额；</w:t>
      </w:r>
    </w:p>
    <w:p w14:paraId="021F1C8B">
      <w:pPr>
        <w:spacing w:line="360" w:lineRule="auto"/>
        <w:ind w:firstLine="560" w:firstLineChars="200"/>
        <w:rPr>
          <w:rFonts w:ascii="Times New Roman" w:hAnsi="Times New Roman"/>
          <w:spacing w:val="20"/>
          <w:sz w:val="24"/>
          <w:szCs w:val="24"/>
        </w:rPr>
      </w:pPr>
      <w:r>
        <w:rPr>
          <w:rFonts w:hint="eastAsia" w:ascii="Times New Roman" w:hAnsi="Times New Roman"/>
          <w:spacing w:val="20"/>
          <w:sz w:val="24"/>
          <w:szCs w:val="24"/>
        </w:rPr>
        <w:t>——修订了初等教育、中等教育、高等教育的用水定额；</w:t>
      </w:r>
    </w:p>
    <w:p w14:paraId="69BAB671">
      <w:pPr>
        <w:spacing w:line="360" w:lineRule="auto"/>
        <w:ind w:firstLine="560" w:firstLineChars="200"/>
        <w:rPr>
          <w:rFonts w:ascii="Times New Roman" w:hAnsi="Times New Roman"/>
          <w:spacing w:val="20"/>
          <w:sz w:val="24"/>
          <w:szCs w:val="24"/>
        </w:rPr>
      </w:pPr>
      <w:r>
        <w:rPr>
          <w:rFonts w:hint="eastAsia" w:ascii="Times New Roman" w:hAnsi="Times New Roman"/>
          <w:spacing w:val="20"/>
          <w:sz w:val="24"/>
          <w:szCs w:val="24"/>
        </w:rPr>
        <w:t>——修订了综合医院、门诊部（所）的用水定额；</w:t>
      </w:r>
    </w:p>
    <w:p w14:paraId="7CFE3C1B">
      <w:pPr>
        <w:spacing w:line="360" w:lineRule="auto"/>
        <w:ind w:firstLine="560" w:firstLineChars="200"/>
        <w:rPr>
          <w:rFonts w:ascii="Times New Roman" w:hAnsi="Times New Roman"/>
          <w:spacing w:val="20"/>
          <w:sz w:val="24"/>
          <w:szCs w:val="24"/>
        </w:rPr>
      </w:pPr>
      <w:r>
        <w:rPr>
          <w:rFonts w:hint="eastAsia" w:ascii="Times New Roman" w:hAnsi="Times New Roman"/>
          <w:spacing w:val="20"/>
          <w:sz w:val="24"/>
          <w:szCs w:val="24"/>
        </w:rPr>
        <w:t>——修订了电影放映、艺术表演场馆、图书馆、档案馆、博物馆、体育场馆管理（综合性体育场、游泳馆、运动员淋浴）、健身休闲活动（室外人工滑雪、高尔夫球场）、机关及社会团体、企业、事业单位的用水定额；</w:t>
      </w:r>
      <w:bookmarkEnd w:id="8"/>
      <w:bookmarkEnd w:id="9"/>
    </w:p>
    <w:p w14:paraId="6D48DC4E">
      <w:pPr>
        <w:spacing w:line="360" w:lineRule="auto"/>
        <w:ind w:firstLine="560" w:firstLineChars="200"/>
        <w:rPr>
          <w:rFonts w:ascii="Times New Roman" w:hAnsi="Times New Roman"/>
          <w:spacing w:val="20"/>
          <w:sz w:val="24"/>
          <w:szCs w:val="24"/>
        </w:rPr>
      </w:pPr>
      <w:r>
        <w:rPr>
          <w:rFonts w:ascii="Times New Roman" w:hAnsi="Times New Roman"/>
          <w:spacing w:val="20"/>
          <w:sz w:val="24"/>
          <w:szCs w:val="24"/>
        </w:rPr>
        <w:t>——</w:t>
      </w:r>
      <w:r>
        <w:rPr>
          <w:rFonts w:hint="eastAsia" w:ascii="Times New Roman" w:hAnsi="Times New Roman"/>
          <w:spacing w:val="20"/>
          <w:sz w:val="24"/>
          <w:szCs w:val="24"/>
        </w:rPr>
        <w:t>增加</w:t>
      </w:r>
      <w:r>
        <w:rPr>
          <w:rFonts w:ascii="Times New Roman" w:hAnsi="Times New Roman"/>
          <w:spacing w:val="20"/>
          <w:sz w:val="24"/>
          <w:szCs w:val="24"/>
        </w:rPr>
        <w:t>了4</w:t>
      </w:r>
      <w:r>
        <w:rPr>
          <w:rFonts w:hint="eastAsia" w:ascii="Times New Roman" w:hAnsi="Times New Roman"/>
          <w:spacing w:val="20"/>
          <w:sz w:val="24"/>
          <w:szCs w:val="24"/>
        </w:rPr>
        <w:t>个与</w:t>
      </w:r>
      <w:r>
        <w:rPr>
          <w:rFonts w:ascii="Times New Roman" w:hAnsi="Times New Roman"/>
          <w:spacing w:val="20"/>
          <w:sz w:val="24"/>
          <w:szCs w:val="24"/>
        </w:rPr>
        <w:t>用水定额计算相关的资料性附录，删除了</w:t>
      </w:r>
      <w:r>
        <w:rPr>
          <w:rFonts w:hint="eastAsia" w:ascii="Times New Roman" w:hAnsi="Times New Roman"/>
          <w:spacing w:val="20"/>
          <w:sz w:val="24"/>
          <w:szCs w:val="24"/>
        </w:rPr>
        <w:t>1个</w:t>
      </w:r>
      <w:r>
        <w:rPr>
          <w:rFonts w:ascii="Times New Roman" w:hAnsi="Times New Roman"/>
          <w:spacing w:val="20"/>
          <w:sz w:val="24"/>
          <w:szCs w:val="24"/>
        </w:rPr>
        <w:t>资料性附录，修改了</w:t>
      </w:r>
      <w:r>
        <w:rPr>
          <w:rFonts w:hint="eastAsia" w:ascii="Times New Roman" w:hAnsi="Times New Roman"/>
          <w:spacing w:val="20"/>
          <w:sz w:val="24"/>
          <w:szCs w:val="24"/>
        </w:rPr>
        <w:t>1个</w:t>
      </w:r>
      <w:r>
        <w:rPr>
          <w:rFonts w:ascii="Times New Roman" w:hAnsi="Times New Roman"/>
          <w:spacing w:val="20"/>
          <w:sz w:val="24"/>
          <w:szCs w:val="24"/>
        </w:rPr>
        <w:t>资料性附录</w:t>
      </w:r>
      <w:r>
        <w:rPr>
          <w:rFonts w:hint="eastAsia" w:ascii="Times New Roman" w:hAnsi="Times New Roman"/>
          <w:spacing w:val="20"/>
          <w:sz w:val="24"/>
          <w:szCs w:val="24"/>
        </w:rPr>
        <w:t>。</w:t>
      </w:r>
    </w:p>
    <w:bookmarkEnd w:id="1"/>
    <w:bookmarkEnd w:id="2"/>
    <w:p w14:paraId="5C0621A6">
      <w:pPr>
        <w:pStyle w:val="3"/>
        <w:numPr>
          <w:ilvl w:val="1"/>
          <w:numId w:val="1"/>
        </w:numPr>
        <w:rPr>
          <w:rFonts w:ascii="Times New Roman" w:hAnsi="Times New Roman"/>
        </w:rPr>
      </w:pPr>
      <w:bookmarkStart w:id="10" w:name="_Toc193804825"/>
      <w:r>
        <w:rPr>
          <w:rFonts w:hint="eastAsia" w:ascii="Times New Roman" w:hAnsi="Times New Roman"/>
        </w:rPr>
        <w:t>术语和</w:t>
      </w:r>
      <w:r>
        <w:rPr>
          <w:rFonts w:ascii="Times New Roman" w:hAnsi="Times New Roman"/>
        </w:rPr>
        <w:t>定义</w:t>
      </w:r>
      <w:bookmarkEnd w:id="10"/>
    </w:p>
    <w:p w14:paraId="262C3108">
      <w:pPr>
        <w:spacing w:line="360" w:lineRule="auto"/>
        <w:ind w:firstLine="420"/>
      </w:pPr>
      <w:r>
        <w:rPr>
          <w:rFonts w:ascii="Times New Roman" w:hAnsi="Times New Roman"/>
          <w:sz w:val="24"/>
        </w:rPr>
        <w:t>本次</w:t>
      </w:r>
      <w:r>
        <w:rPr>
          <w:rFonts w:hint="eastAsia" w:ascii="Times New Roman" w:hAnsi="Times New Roman"/>
          <w:sz w:val="24"/>
        </w:rPr>
        <w:t>对工业的术语和定义</w:t>
      </w:r>
      <w:r>
        <w:rPr>
          <w:rFonts w:ascii="Times New Roman" w:hAnsi="Times New Roman"/>
          <w:sz w:val="24"/>
        </w:rPr>
        <w:t>进行</w:t>
      </w:r>
      <w:r>
        <w:rPr>
          <w:rFonts w:hint="eastAsia" w:ascii="Times New Roman" w:hAnsi="Times New Roman"/>
          <w:sz w:val="24"/>
        </w:rPr>
        <w:t>了</w:t>
      </w:r>
      <w:r>
        <w:rPr>
          <w:rFonts w:ascii="Times New Roman" w:hAnsi="Times New Roman"/>
          <w:sz w:val="24"/>
        </w:rPr>
        <w:t>修订。</w:t>
      </w:r>
    </w:p>
    <w:p w14:paraId="28726954">
      <w:pPr>
        <w:pStyle w:val="3"/>
        <w:numPr>
          <w:ilvl w:val="1"/>
          <w:numId w:val="1"/>
        </w:numPr>
        <w:rPr>
          <w:rFonts w:ascii="Times New Roman" w:hAnsi="Times New Roman"/>
        </w:rPr>
      </w:pPr>
      <w:bookmarkStart w:id="11" w:name="_Toc193804826"/>
      <w:r>
        <w:rPr>
          <w:rFonts w:hint="eastAsia" w:ascii="Times New Roman" w:hAnsi="Times New Roman"/>
        </w:rPr>
        <w:t>用</w:t>
      </w:r>
      <w:r>
        <w:rPr>
          <w:rFonts w:ascii="Times New Roman" w:hAnsi="Times New Roman"/>
        </w:rPr>
        <w:t>水定额适用条件</w:t>
      </w:r>
      <w:bookmarkEnd w:id="11"/>
    </w:p>
    <w:p w14:paraId="29232BB4">
      <w:pPr>
        <w:ind w:firstLine="480" w:firstLineChars="200"/>
        <w:rPr>
          <w:rFonts w:ascii="Times New Roman" w:hAnsi="Times New Roman"/>
          <w:sz w:val="24"/>
        </w:rPr>
      </w:pPr>
      <w:r>
        <w:rPr>
          <w:rFonts w:ascii="Times New Roman" w:hAnsi="Times New Roman"/>
          <w:sz w:val="24"/>
        </w:rPr>
        <w:t>本次对工业的</w:t>
      </w:r>
      <w:r>
        <w:rPr>
          <w:rFonts w:hint="eastAsia" w:ascii="Times New Roman" w:hAnsi="Times New Roman"/>
          <w:sz w:val="24"/>
        </w:rPr>
        <w:t>用水定额适用条件</w:t>
      </w:r>
      <w:r>
        <w:rPr>
          <w:rFonts w:ascii="Times New Roman" w:hAnsi="Times New Roman"/>
          <w:sz w:val="24"/>
        </w:rPr>
        <w:t>进行了修订。</w:t>
      </w:r>
    </w:p>
    <w:p w14:paraId="12339440">
      <w:pPr>
        <w:pStyle w:val="3"/>
        <w:numPr>
          <w:ilvl w:val="1"/>
          <w:numId w:val="1"/>
        </w:numPr>
        <w:rPr>
          <w:rFonts w:ascii="Times New Roman" w:hAnsi="Times New Roman"/>
        </w:rPr>
      </w:pPr>
      <w:r>
        <w:rPr>
          <w:rFonts w:hint="eastAsia" w:ascii="Times New Roman" w:hAnsi="Times New Roman"/>
        </w:rPr>
        <w:t xml:space="preserve"> </w:t>
      </w:r>
      <w:bookmarkStart w:id="12" w:name="_Toc193804827"/>
      <w:r>
        <w:rPr>
          <w:rFonts w:hint="eastAsia" w:ascii="Times New Roman" w:hAnsi="Times New Roman"/>
        </w:rPr>
        <w:t>附录</w:t>
      </w:r>
      <w:bookmarkEnd w:id="12"/>
    </w:p>
    <w:p w14:paraId="1377271A">
      <w:pPr>
        <w:spacing w:line="360" w:lineRule="auto"/>
        <w:ind w:firstLine="420"/>
        <w:rPr>
          <w:rFonts w:ascii="Times New Roman" w:hAnsi="Times New Roman"/>
          <w:sz w:val="24"/>
        </w:rPr>
      </w:pPr>
      <w:r>
        <w:rPr>
          <w:rFonts w:hint="eastAsia" w:ascii="Times New Roman" w:hAnsi="Times New Roman"/>
          <w:sz w:val="24"/>
        </w:rPr>
        <w:t>为</w:t>
      </w:r>
      <w:r>
        <w:rPr>
          <w:rFonts w:ascii="Times New Roman" w:hAnsi="Times New Roman"/>
          <w:sz w:val="24"/>
        </w:rPr>
        <w:t>了便于</w:t>
      </w:r>
      <w:r>
        <w:rPr>
          <w:rFonts w:hint="eastAsia" w:ascii="Times New Roman" w:hAnsi="Times New Roman"/>
          <w:sz w:val="24"/>
        </w:rPr>
        <w:t>实际</w:t>
      </w:r>
      <w:r>
        <w:rPr>
          <w:rFonts w:ascii="Times New Roman" w:hAnsi="Times New Roman"/>
          <w:sz w:val="24"/>
        </w:rPr>
        <w:t>运用过程中</w:t>
      </w:r>
      <w:r>
        <w:rPr>
          <w:rFonts w:hint="eastAsia" w:ascii="Times New Roman" w:hAnsi="Times New Roman"/>
          <w:sz w:val="24"/>
        </w:rPr>
        <w:t>标准</w:t>
      </w:r>
      <w:r>
        <w:rPr>
          <w:rFonts w:ascii="Times New Roman" w:hAnsi="Times New Roman"/>
          <w:sz w:val="24"/>
        </w:rPr>
        <w:t>的使用</w:t>
      </w:r>
      <w:r>
        <w:rPr>
          <w:rFonts w:hint="eastAsia" w:ascii="Times New Roman" w:hAnsi="Times New Roman"/>
          <w:sz w:val="24"/>
        </w:rPr>
        <w:t>及用</w:t>
      </w:r>
      <w:r>
        <w:rPr>
          <w:rFonts w:ascii="Times New Roman" w:hAnsi="Times New Roman"/>
          <w:sz w:val="24"/>
        </w:rPr>
        <w:t>水指标的计算，本次对附录进行修订</w:t>
      </w:r>
      <w:r>
        <w:rPr>
          <w:rFonts w:hint="eastAsia" w:ascii="Times New Roman" w:hAnsi="Times New Roman"/>
          <w:sz w:val="24"/>
        </w:rPr>
        <w:t>。</w:t>
      </w:r>
    </w:p>
    <w:p w14:paraId="1CE6773F">
      <w:pPr>
        <w:spacing w:line="360" w:lineRule="auto"/>
        <w:ind w:firstLine="420"/>
        <w:rPr>
          <w:rFonts w:ascii="Times New Roman" w:hAnsi="Times New Roman"/>
          <w:sz w:val="24"/>
        </w:rPr>
      </w:pPr>
      <w:r>
        <w:rPr>
          <w:rFonts w:ascii="Times New Roman" w:hAnsi="Times New Roman"/>
          <w:sz w:val="24"/>
        </w:rPr>
        <w:t>其中，第二部分工业：</w:t>
      </w:r>
    </w:p>
    <w:p w14:paraId="5B157547">
      <w:pPr>
        <w:spacing w:line="360" w:lineRule="auto"/>
        <w:ind w:firstLine="420"/>
        <w:rPr>
          <w:rFonts w:ascii="Times New Roman" w:hAnsi="Times New Roman"/>
          <w:sz w:val="24"/>
        </w:rPr>
      </w:pPr>
      <w:r>
        <w:rPr>
          <w:rFonts w:ascii="Times New Roman" w:hAnsi="Times New Roman"/>
          <w:sz w:val="24"/>
        </w:rPr>
        <w:t>——</w:t>
      </w:r>
      <w:r>
        <w:rPr>
          <w:rFonts w:hint="eastAsia" w:ascii="Times New Roman" w:hAnsi="Times New Roman"/>
          <w:sz w:val="24"/>
        </w:rPr>
        <w:t>删除</w:t>
      </w:r>
      <w:r>
        <w:rPr>
          <w:rFonts w:ascii="Times New Roman" w:hAnsi="Times New Roman"/>
          <w:sz w:val="24"/>
        </w:rPr>
        <w:t>了</w:t>
      </w:r>
      <w:r>
        <w:rPr>
          <w:rFonts w:hint="eastAsia" w:ascii="Times New Roman" w:hAnsi="Times New Roman"/>
          <w:sz w:val="24"/>
        </w:rPr>
        <w:t>原</w:t>
      </w:r>
      <w:r>
        <w:rPr>
          <w:rFonts w:ascii="Times New Roman" w:hAnsi="Times New Roman"/>
          <w:sz w:val="24"/>
        </w:rPr>
        <w:t>标准中</w:t>
      </w:r>
      <w:r>
        <w:rPr>
          <w:rFonts w:hint="eastAsia" w:ascii="Times New Roman" w:hAnsi="Times New Roman"/>
          <w:sz w:val="24"/>
        </w:rPr>
        <w:t>“</w:t>
      </w:r>
      <w:r>
        <w:rPr>
          <w:rFonts w:ascii="Times New Roman" w:hAnsi="Times New Roman"/>
          <w:sz w:val="24"/>
        </w:rPr>
        <w:t>附录</w:t>
      </w:r>
      <w:r>
        <w:rPr>
          <w:rFonts w:hint="eastAsia" w:ascii="Times New Roman" w:hAnsi="Times New Roman"/>
          <w:sz w:val="24"/>
        </w:rPr>
        <w:t>F</w:t>
      </w:r>
      <w:r>
        <w:rPr>
          <w:rFonts w:ascii="Times New Roman" w:hAnsi="Times New Roman"/>
          <w:sz w:val="24"/>
        </w:rPr>
        <w:t>（资料性附录）</w:t>
      </w:r>
      <w:r>
        <w:rPr>
          <w:rFonts w:hint="eastAsia" w:ascii="Times New Roman" w:hAnsi="Times New Roman"/>
          <w:sz w:val="24"/>
        </w:rPr>
        <w:t>”不同浓度酒精产品产量的折算；</w:t>
      </w:r>
    </w:p>
    <w:p w14:paraId="0F650774">
      <w:pPr>
        <w:spacing w:line="360" w:lineRule="auto"/>
        <w:ind w:firstLine="420"/>
        <w:rPr>
          <w:rFonts w:ascii="Times New Roman" w:hAnsi="Times New Roman"/>
          <w:sz w:val="24"/>
        </w:rPr>
      </w:pPr>
      <w:r>
        <w:rPr>
          <w:rFonts w:ascii="Times New Roman" w:hAnsi="Times New Roman"/>
          <w:sz w:val="24"/>
        </w:rPr>
        <w:t>——</w:t>
      </w:r>
      <w:r>
        <w:rPr>
          <w:rFonts w:hint="eastAsia" w:ascii="Times New Roman" w:hAnsi="Times New Roman"/>
          <w:sz w:val="24"/>
        </w:rPr>
        <w:t>增加</w:t>
      </w:r>
      <w:r>
        <w:rPr>
          <w:rFonts w:ascii="Times New Roman" w:hAnsi="Times New Roman"/>
          <w:sz w:val="24"/>
        </w:rPr>
        <w:t>了</w:t>
      </w:r>
      <w:r>
        <w:rPr>
          <w:rFonts w:hint="eastAsia" w:ascii="Times New Roman" w:hAnsi="Times New Roman"/>
          <w:sz w:val="24"/>
        </w:rPr>
        <w:t>“</w:t>
      </w:r>
      <w:r>
        <w:rPr>
          <w:rFonts w:ascii="Times New Roman" w:hAnsi="Times New Roman"/>
          <w:sz w:val="24"/>
        </w:rPr>
        <w:t>附录</w:t>
      </w:r>
      <w:r>
        <w:rPr>
          <w:rFonts w:hint="eastAsia" w:ascii="Times New Roman" w:hAnsi="Times New Roman"/>
          <w:sz w:val="24"/>
        </w:rPr>
        <w:t>D</w:t>
      </w:r>
      <w:r>
        <w:rPr>
          <w:rFonts w:ascii="Times New Roman" w:hAnsi="Times New Roman"/>
          <w:sz w:val="24"/>
        </w:rPr>
        <w:t>（资料性附录）</w:t>
      </w:r>
      <w:r>
        <w:rPr>
          <w:rFonts w:hint="eastAsia" w:ascii="Times New Roman" w:hAnsi="Times New Roman"/>
          <w:sz w:val="24"/>
        </w:rPr>
        <w:t>”11°P原麦汁浓度标准品的折算方法；</w:t>
      </w:r>
    </w:p>
    <w:p w14:paraId="5D0C66E9">
      <w:pPr>
        <w:spacing w:line="360" w:lineRule="auto"/>
        <w:ind w:firstLine="420"/>
        <w:rPr>
          <w:rFonts w:ascii="Times New Roman" w:hAnsi="Times New Roman"/>
          <w:sz w:val="24"/>
        </w:rPr>
      </w:pPr>
      <w:r>
        <w:rPr>
          <w:rFonts w:ascii="Times New Roman" w:hAnsi="Times New Roman"/>
          <w:sz w:val="24"/>
        </w:rPr>
        <w:t>——</w:t>
      </w:r>
      <w:r>
        <w:rPr>
          <w:rFonts w:hint="eastAsia" w:ascii="Times New Roman" w:hAnsi="Times New Roman"/>
          <w:sz w:val="24"/>
        </w:rPr>
        <w:t>修改原</w:t>
      </w:r>
      <w:r>
        <w:rPr>
          <w:rFonts w:ascii="Times New Roman" w:hAnsi="Times New Roman"/>
          <w:sz w:val="24"/>
        </w:rPr>
        <w:t>标准中</w:t>
      </w:r>
      <w:r>
        <w:rPr>
          <w:rFonts w:hint="eastAsia" w:ascii="Times New Roman" w:hAnsi="Times New Roman"/>
          <w:sz w:val="24"/>
        </w:rPr>
        <w:t>“</w:t>
      </w:r>
      <w:r>
        <w:rPr>
          <w:rFonts w:ascii="Times New Roman" w:hAnsi="Times New Roman"/>
          <w:sz w:val="24"/>
        </w:rPr>
        <w:t>附录</w:t>
      </w:r>
      <w:r>
        <w:rPr>
          <w:rFonts w:hint="eastAsia" w:ascii="Times New Roman" w:hAnsi="Times New Roman"/>
          <w:sz w:val="24"/>
        </w:rPr>
        <w:t>J</w:t>
      </w:r>
      <w:r>
        <w:rPr>
          <w:rFonts w:ascii="Times New Roman" w:hAnsi="Times New Roman"/>
          <w:sz w:val="24"/>
        </w:rPr>
        <w:t>（资料性附录）</w:t>
      </w:r>
      <w:r>
        <w:rPr>
          <w:rFonts w:hint="eastAsia" w:ascii="Times New Roman" w:hAnsi="Times New Roman"/>
          <w:sz w:val="24"/>
        </w:rPr>
        <w:t>”精准精梳、粗疏毛织物用水定额系数的计算为“</w:t>
      </w:r>
      <w:r>
        <w:rPr>
          <w:rFonts w:ascii="Times New Roman" w:hAnsi="Times New Roman"/>
          <w:sz w:val="24"/>
        </w:rPr>
        <w:t>附录</w:t>
      </w:r>
      <w:r>
        <w:rPr>
          <w:rFonts w:hint="eastAsia" w:ascii="Times New Roman" w:hAnsi="Times New Roman"/>
          <w:sz w:val="24"/>
        </w:rPr>
        <w:t>G</w:t>
      </w:r>
      <w:r>
        <w:rPr>
          <w:rFonts w:ascii="Times New Roman" w:hAnsi="Times New Roman"/>
          <w:sz w:val="24"/>
        </w:rPr>
        <w:t>（资料性附录）</w:t>
      </w:r>
      <w:r>
        <w:rPr>
          <w:rFonts w:hint="eastAsia" w:ascii="Times New Roman" w:hAnsi="Times New Roman"/>
          <w:sz w:val="24"/>
        </w:rPr>
        <w:t>”精、粗梳毛织物标准品产量的折算方法；</w:t>
      </w:r>
    </w:p>
    <w:p w14:paraId="42542BCF">
      <w:pPr>
        <w:spacing w:line="360" w:lineRule="auto"/>
        <w:ind w:firstLine="420"/>
        <w:rPr>
          <w:rFonts w:ascii="Times New Roman" w:hAnsi="Times New Roman"/>
          <w:sz w:val="24"/>
        </w:rPr>
      </w:pPr>
      <w:r>
        <w:rPr>
          <w:rFonts w:ascii="Times New Roman" w:hAnsi="Times New Roman"/>
          <w:sz w:val="24"/>
        </w:rPr>
        <w:t>第三部分建筑业、服务业及居民生活：</w:t>
      </w:r>
    </w:p>
    <w:p w14:paraId="7DF48BB1">
      <w:pPr>
        <w:spacing w:line="360" w:lineRule="auto"/>
        <w:ind w:firstLine="420"/>
        <w:rPr>
          <w:rFonts w:ascii="Times New Roman" w:hAnsi="Times New Roman"/>
          <w:sz w:val="24"/>
        </w:rPr>
      </w:pPr>
      <w:r>
        <w:rPr>
          <w:rFonts w:ascii="Times New Roman" w:hAnsi="Times New Roman"/>
          <w:sz w:val="24"/>
        </w:rPr>
        <w:t>——</w:t>
      </w:r>
      <w:r>
        <w:rPr>
          <w:rFonts w:hint="eastAsia" w:ascii="Times New Roman" w:hAnsi="Times New Roman"/>
          <w:sz w:val="24"/>
        </w:rPr>
        <w:t>增加</w:t>
      </w:r>
      <w:r>
        <w:rPr>
          <w:rFonts w:ascii="Times New Roman" w:hAnsi="Times New Roman"/>
          <w:sz w:val="24"/>
        </w:rPr>
        <w:t>了</w:t>
      </w:r>
      <w:r>
        <w:rPr>
          <w:rFonts w:hint="eastAsia" w:ascii="Times New Roman" w:hAnsi="Times New Roman"/>
          <w:sz w:val="24"/>
        </w:rPr>
        <w:t>“</w:t>
      </w:r>
      <w:r>
        <w:rPr>
          <w:rFonts w:ascii="Times New Roman" w:hAnsi="Times New Roman"/>
          <w:sz w:val="24"/>
        </w:rPr>
        <w:t>附录</w:t>
      </w:r>
      <w:r>
        <w:rPr>
          <w:rFonts w:hint="eastAsia" w:ascii="Times New Roman" w:hAnsi="Times New Roman"/>
          <w:sz w:val="24"/>
        </w:rPr>
        <w:t>E</w:t>
      </w:r>
      <w:r>
        <w:rPr>
          <w:rFonts w:ascii="Times New Roman" w:hAnsi="Times New Roman"/>
          <w:sz w:val="24"/>
        </w:rPr>
        <w:t>（资料性附录）</w:t>
      </w:r>
      <w:r>
        <w:rPr>
          <w:rFonts w:hint="eastAsia" w:ascii="Times New Roman" w:hAnsi="Times New Roman"/>
          <w:sz w:val="24"/>
        </w:rPr>
        <w:t>”道路运输辅助活动用水定额计算方法；</w:t>
      </w:r>
    </w:p>
    <w:p w14:paraId="1F4F5E62">
      <w:pPr>
        <w:spacing w:line="360" w:lineRule="auto"/>
        <w:ind w:firstLine="420"/>
        <w:rPr>
          <w:rFonts w:ascii="Times New Roman" w:hAnsi="Times New Roman"/>
          <w:sz w:val="24"/>
        </w:rPr>
      </w:pPr>
      <w:r>
        <w:rPr>
          <w:rFonts w:ascii="Times New Roman" w:hAnsi="Times New Roman"/>
          <w:sz w:val="24"/>
        </w:rPr>
        <w:t>——</w:t>
      </w:r>
      <w:r>
        <w:rPr>
          <w:rFonts w:hint="eastAsia" w:ascii="Times New Roman" w:hAnsi="Times New Roman"/>
          <w:sz w:val="24"/>
        </w:rPr>
        <w:t>增加</w:t>
      </w:r>
      <w:r>
        <w:rPr>
          <w:rFonts w:ascii="Times New Roman" w:hAnsi="Times New Roman"/>
          <w:sz w:val="24"/>
        </w:rPr>
        <w:t>了</w:t>
      </w:r>
      <w:r>
        <w:rPr>
          <w:rFonts w:hint="eastAsia" w:ascii="Times New Roman" w:hAnsi="Times New Roman"/>
          <w:sz w:val="24"/>
        </w:rPr>
        <w:t>“</w:t>
      </w:r>
      <w:r>
        <w:rPr>
          <w:rFonts w:ascii="Times New Roman" w:hAnsi="Times New Roman"/>
          <w:sz w:val="24"/>
        </w:rPr>
        <w:t>附录</w:t>
      </w:r>
      <w:r>
        <w:rPr>
          <w:rFonts w:hint="eastAsia" w:ascii="Times New Roman" w:hAnsi="Times New Roman"/>
          <w:sz w:val="24"/>
        </w:rPr>
        <w:t>F</w:t>
      </w:r>
      <w:r>
        <w:rPr>
          <w:rFonts w:ascii="Times New Roman" w:hAnsi="Times New Roman"/>
          <w:sz w:val="24"/>
        </w:rPr>
        <w:t>（资料性附录）</w:t>
      </w:r>
      <w:r>
        <w:rPr>
          <w:rFonts w:hint="eastAsia" w:ascii="Times New Roman" w:hAnsi="Times New Roman"/>
          <w:sz w:val="24"/>
        </w:rPr>
        <w:t>”</w:t>
      </w:r>
      <w:r>
        <w:rPr>
          <w:rFonts w:hint="eastAsia"/>
        </w:rPr>
        <w:t xml:space="preserve"> </w:t>
      </w:r>
      <w:r>
        <w:rPr>
          <w:rFonts w:hint="eastAsia" w:ascii="Times New Roman" w:hAnsi="Times New Roman"/>
          <w:sz w:val="24"/>
        </w:rPr>
        <w:t>地铁站用水定额计算方法；</w:t>
      </w:r>
    </w:p>
    <w:p w14:paraId="3531ED61">
      <w:pPr>
        <w:spacing w:line="360" w:lineRule="auto"/>
        <w:ind w:firstLine="420"/>
        <w:rPr>
          <w:rFonts w:ascii="Times New Roman" w:hAnsi="Times New Roman"/>
          <w:sz w:val="24"/>
        </w:rPr>
      </w:pPr>
      <w:r>
        <w:rPr>
          <w:rFonts w:ascii="Times New Roman" w:hAnsi="Times New Roman"/>
          <w:sz w:val="24"/>
        </w:rPr>
        <w:t>——</w:t>
      </w:r>
      <w:r>
        <w:rPr>
          <w:rFonts w:hint="eastAsia" w:ascii="Times New Roman" w:hAnsi="Times New Roman"/>
          <w:sz w:val="24"/>
        </w:rPr>
        <w:t>增加</w:t>
      </w:r>
      <w:r>
        <w:rPr>
          <w:rFonts w:ascii="Times New Roman" w:hAnsi="Times New Roman"/>
          <w:sz w:val="24"/>
        </w:rPr>
        <w:t>了</w:t>
      </w:r>
      <w:r>
        <w:rPr>
          <w:rFonts w:hint="eastAsia" w:ascii="Times New Roman" w:hAnsi="Times New Roman"/>
          <w:sz w:val="24"/>
        </w:rPr>
        <w:t>“</w:t>
      </w:r>
      <w:r>
        <w:rPr>
          <w:rFonts w:ascii="Times New Roman" w:hAnsi="Times New Roman"/>
          <w:sz w:val="24"/>
        </w:rPr>
        <w:t>附录</w:t>
      </w:r>
      <w:r>
        <w:rPr>
          <w:rFonts w:hint="eastAsia" w:ascii="Times New Roman" w:hAnsi="Times New Roman"/>
          <w:sz w:val="24"/>
        </w:rPr>
        <w:t>G</w:t>
      </w:r>
      <w:r>
        <w:rPr>
          <w:rFonts w:ascii="Times New Roman" w:hAnsi="Times New Roman"/>
          <w:sz w:val="24"/>
        </w:rPr>
        <w:t>（资料性附录）</w:t>
      </w:r>
      <w:r>
        <w:rPr>
          <w:rFonts w:hint="eastAsia" w:ascii="Times New Roman" w:hAnsi="Times New Roman"/>
          <w:sz w:val="24"/>
        </w:rPr>
        <w:t>”火车站用水定额计算方法。</w:t>
      </w:r>
    </w:p>
    <w:p w14:paraId="42DBA806">
      <w:pPr>
        <w:ind w:firstLine="640" w:firstLineChars="200"/>
        <w:rPr>
          <w:rFonts w:hint="eastAsia" w:ascii="黑体" w:hAnsi="黑体" w:eastAsia="黑体" w:cs="黑体"/>
          <w:sz w:val="32"/>
          <w:szCs w:val="32"/>
        </w:rPr>
      </w:pPr>
      <w:bookmarkStart w:id="13" w:name="_Toc193804828"/>
      <w:r>
        <w:rPr>
          <w:rFonts w:hint="eastAsia" w:ascii="黑体" w:hAnsi="黑体" w:eastAsia="黑体" w:cs="黑体"/>
          <w:sz w:val="32"/>
          <w:szCs w:val="32"/>
          <w:lang w:val="en-US" w:eastAsia="zh-CN"/>
        </w:rPr>
        <w:t>二、</w:t>
      </w:r>
      <w:r>
        <w:rPr>
          <w:rFonts w:hint="eastAsia" w:ascii="黑体" w:hAnsi="黑体" w:eastAsia="黑体" w:cs="黑体"/>
          <w:sz w:val="32"/>
          <w:szCs w:val="32"/>
        </w:rPr>
        <w:t>各行业用水定额变化情况</w:t>
      </w:r>
      <w:bookmarkEnd w:id="13"/>
    </w:p>
    <w:p w14:paraId="0FA18758">
      <w:pPr>
        <w:pStyle w:val="2"/>
        <w:keepNext/>
        <w:keepLines/>
        <w:pageBreakBefore w:val="0"/>
        <w:widowControl w:val="0"/>
        <w:numPr>
          <w:ilvl w:val="0"/>
          <w:numId w:val="2"/>
        </w:numPr>
        <w:kinsoku/>
        <w:wordWrap/>
        <w:overflowPunct/>
        <w:topLinePunct w:val="0"/>
        <w:autoSpaceDE/>
        <w:autoSpaceDN/>
        <w:bidi w:val="0"/>
        <w:adjustRightInd/>
        <w:snapToGrid/>
        <w:spacing w:before="0" w:after="0" w:line="240" w:lineRule="auto"/>
        <w:ind w:left="420" w:leftChars="0" w:hanging="420" w:firstLineChars="0"/>
        <w:textAlignment w:val="auto"/>
        <w:rPr>
          <w:rFonts w:hint="eastAsia" w:ascii="楷体_GB2312" w:hAnsi="楷体_GB2312" w:eastAsia="楷体_GB2312" w:cs="楷体_GB2312"/>
        </w:rPr>
      </w:pPr>
      <w:r>
        <w:rPr>
          <w:rFonts w:hint="eastAsia" w:ascii="楷体_GB2312" w:hAnsi="楷体_GB2312" w:eastAsia="楷体_GB2312" w:cs="楷体_GB2312"/>
        </w:rPr>
        <w:t>A农、林、牧、渔业</w:t>
      </w:r>
    </w:p>
    <w:p w14:paraId="6303B94E">
      <w:pPr>
        <w:pStyle w:val="47"/>
        <w:numPr>
          <w:ilvl w:val="0"/>
          <w:numId w:val="3"/>
        </w:numPr>
        <w:spacing w:line="360" w:lineRule="auto"/>
        <w:ind w:left="0" w:firstLine="0" w:firstLineChars="0"/>
        <w:jc w:val="left"/>
        <w:rPr>
          <w:rFonts w:ascii="Times New Roman" w:hAnsi="Times New Roman"/>
          <w:sz w:val="24"/>
        </w:rPr>
      </w:pPr>
      <w:r>
        <w:rPr>
          <w:rFonts w:hint="eastAsia" w:ascii="Times New Roman" w:hAnsi="Times New Roman"/>
          <w:sz w:val="24"/>
        </w:rPr>
        <w:t>分</w:t>
      </w:r>
      <w:r>
        <w:rPr>
          <w:rFonts w:ascii="Times New Roman" w:hAnsi="Times New Roman"/>
          <w:sz w:val="24"/>
        </w:rPr>
        <w:t>区</w:t>
      </w:r>
    </w:p>
    <w:p w14:paraId="29E68BED">
      <w:pPr>
        <w:pStyle w:val="47"/>
        <w:spacing w:line="360" w:lineRule="auto"/>
        <w:ind w:firstLine="480"/>
        <w:jc w:val="left"/>
        <w:rPr>
          <w:rFonts w:ascii="Times New Roman" w:hAnsi="Times New Roman"/>
          <w:sz w:val="24"/>
        </w:rPr>
      </w:pPr>
      <w:r>
        <w:rPr>
          <w:rFonts w:hint="eastAsia" w:ascii="Times New Roman" w:hAnsi="Times New Roman"/>
          <w:sz w:val="24"/>
        </w:rPr>
        <w:t>本次修订仍沿用DB21/T 1237—2020《行业用水定额》中的分区，详见下表。</w:t>
      </w:r>
    </w:p>
    <w:p w14:paraId="49920AD7">
      <w:pPr>
        <w:pStyle w:val="7"/>
        <w:keepNext/>
        <w:rPr>
          <w:rFonts w:ascii="Times New Roman" w:hAnsi="Times New Roman"/>
          <w:b/>
          <w:sz w:val="24"/>
          <w:szCs w:val="24"/>
        </w:rPr>
      </w:pPr>
      <w:r>
        <w:rPr>
          <w:rFonts w:ascii="Times New Roman" w:hAnsi="Times New Roman"/>
          <w:sz w:val="21"/>
          <w:szCs w:val="21"/>
        </w:rPr>
        <w:t xml:space="preserve">表 </w:t>
      </w:r>
      <w:r>
        <w:rPr>
          <w:rFonts w:ascii="Times New Roman" w:hAnsi="Times New Roman"/>
          <w:sz w:val="21"/>
          <w:szCs w:val="21"/>
        </w:rPr>
        <w:fldChar w:fldCharType="begin"/>
      </w:r>
      <w:r>
        <w:rPr>
          <w:rFonts w:ascii="Times New Roman" w:hAnsi="Times New Roman"/>
          <w:sz w:val="21"/>
          <w:szCs w:val="21"/>
        </w:rPr>
        <w:instrText xml:space="preserve"> SEQ 表 \* ARABIC \s 2 </w:instrText>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rFonts w:hint="eastAsia" w:ascii="Times New Roman" w:hAnsi="Times New Roman"/>
          <w:sz w:val="21"/>
          <w:szCs w:val="21"/>
        </w:rPr>
        <w:t>农、林、渔业灌溉用水定额分区表</w:t>
      </w:r>
    </w:p>
    <w:tbl>
      <w:tblPr>
        <w:tblStyle w:val="26"/>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1305"/>
        <w:gridCol w:w="1512"/>
        <w:gridCol w:w="1444"/>
        <w:gridCol w:w="1470"/>
        <w:gridCol w:w="1316"/>
        <w:gridCol w:w="1609"/>
      </w:tblGrid>
      <w:tr w14:paraId="5A97B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652" w:type="dxa"/>
            <w:vMerge w:val="restart"/>
            <w:vAlign w:val="center"/>
          </w:tcPr>
          <w:p w14:paraId="09AD0BC5">
            <w:pPr>
              <w:pStyle w:val="11"/>
              <w:spacing w:line="0" w:lineRule="atLeast"/>
              <w:ind w:firstLine="0" w:firstLineChars="0"/>
              <w:jc w:val="center"/>
              <w:rPr>
                <w:rFonts w:cs="Arial"/>
                <w:b/>
                <w:bCs/>
                <w:sz w:val="18"/>
                <w:szCs w:val="18"/>
              </w:rPr>
            </w:pPr>
            <w:r>
              <w:rPr>
                <w:rFonts w:hint="eastAsia" w:cs="Arial"/>
                <w:b/>
                <w:bCs/>
                <w:sz w:val="18"/>
                <w:szCs w:val="18"/>
              </w:rPr>
              <w:t>项 目</w:t>
            </w:r>
          </w:p>
        </w:tc>
        <w:tc>
          <w:tcPr>
            <w:tcW w:w="8656" w:type="dxa"/>
            <w:gridSpan w:val="6"/>
            <w:vAlign w:val="center"/>
          </w:tcPr>
          <w:p w14:paraId="68ECE28E">
            <w:pPr>
              <w:spacing w:line="0" w:lineRule="atLeast"/>
              <w:jc w:val="center"/>
              <w:rPr>
                <w:rFonts w:ascii="宋体" w:hAnsi="宋体" w:cs="Arial"/>
                <w:b/>
                <w:sz w:val="18"/>
                <w:szCs w:val="18"/>
              </w:rPr>
            </w:pPr>
            <w:r>
              <w:rPr>
                <w:rFonts w:hint="eastAsia" w:ascii="宋体" w:hAnsi="宋体" w:cs="Arial"/>
                <w:b/>
                <w:bCs/>
                <w:sz w:val="18"/>
                <w:szCs w:val="18"/>
              </w:rPr>
              <w:t>分 区</w:t>
            </w:r>
          </w:p>
        </w:tc>
      </w:tr>
      <w:tr w14:paraId="2B5A2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52" w:type="dxa"/>
            <w:vMerge w:val="continue"/>
            <w:vAlign w:val="center"/>
          </w:tcPr>
          <w:p w14:paraId="03139649">
            <w:pPr>
              <w:pStyle w:val="11"/>
              <w:spacing w:line="0" w:lineRule="atLeast"/>
              <w:ind w:firstLine="387"/>
              <w:rPr>
                <w:rFonts w:cs="Arial"/>
                <w:b/>
                <w:bCs/>
                <w:sz w:val="18"/>
                <w:szCs w:val="18"/>
              </w:rPr>
            </w:pPr>
          </w:p>
        </w:tc>
        <w:tc>
          <w:tcPr>
            <w:tcW w:w="2817" w:type="dxa"/>
            <w:gridSpan w:val="2"/>
            <w:vAlign w:val="center"/>
          </w:tcPr>
          <w:p w14:paraId="1B52F266">
            <w:pPr>
              <w:spacing w:line="0" w:lineRule="atLeast"/>
              <w:jc w:val="center"/>
              <w:rPr>
                <w:rFonts w:ascii="宋体" w:hAnsi="宋体" w:cs="Arial"/>
                <w:b/>
                <w:sz w:val="18"/>
                <w:szCs w:val="18"/>
              </w:rPr>
            </w:pPr>
            <w:r>
              <w:rPr>
                <w:rFonts w:hint="eastAsia" w:ascii="宋体" w:hAnsi="宋体" w:cs="Arial"/>
                <w:b/>
                <w:sz w:val="18"/>
                <w:szCs w:val="18"/>
              </w:rPr>
              <w:t>Ⅰ</w:t>
            </w:r>
            <w:r>
              <w:rPr>
                <w:rFonts w:hint="eastAsia" w:cs="Arial"/>
                <w:b/>
                <w:sz w:val="18"/>
                <w:szCs w:val="18"/>
              </w:rPr>
              <w:t>辽西低山丘陵区</w:t>
            </w:r>
          </w:p>
        </w:tc>
        <w:tc>
          <w:tcPr>
            <w:tcW w:w="1444" w:type="dxa"/>
            <w:vMerge w:val="restart"/>
            <w:vAlign w:val="center"/>
          </w:tcPr>
          <w:p w14:paraId="390A0147">
            <w:pPr>
              <w:pStyle w:val="11"/>
              <w:spacing w:line="0" w:lineRule="atLeast"/>
              <w:ind w:firstLine="0" w:firstLineChars="0"/>
              <w:jc w:val="center"/>
              <w:rPr>
                <w:rFonts w:cs="Arial"/>
                <w:b/>
                <w:sz w:val="18"/>
                <w:szCs w:val="18"/>
              </w:rPr>
            </w:pPr>
            <w:r>
              <w:rPr>
                <w:rFonts w:hint="eastAsia" w:cs="Arial"/>
                <w:b/>
                <w:sz w:val="18"/>
                <w:szCs w:val="18"/>
              </w:rPr>
              <w:t>Ⅱ辽河中下游</w:t>
            </w:r>
          </w:p>
          <w:p w14:paraId="4DD0461C">
            <w:pPr>
              <w:pStyle w:val="11"/>
              <w:spacing w:line="0" w:lineRule="atLeast"/>
              <w:ind w:firstLine="0" w:firstLineChars="0"/>
              <w:jc w:val="center"/>
              <w:rPr>
                <w:rFonts w:cs="Arial"/>
                <w:b/>
                <w:sz w:val="18"/>
                <w:szCs w:val="18"/>
              </w:rPr>
            </w:pPr>
            <w:r>
              <w:rPr>
                <w:rFonts w:hint="eastAsia" w:cs="Arial"/>
                <w:b/>
                <w:sz w:val="18"/>
                <w:szCs w:val="18"/>
              </w:rPr>
              <w:t>平原区</w:t>
            </w:r>
          </w:p>
        </w:tc>
        <w:tc>
          <w:tcPr>
            <w:tcW w:w="1470" w:type="dxa"/>
            <w:vMerge w:val="restart"/>
            <w:vAlign w:val="center"/>
          </w:tcPr>
          <w:p w14:paraId="0EB4AC2F">
            <w:pPr>
              <w:pStyle w:val="11"/>
              <w:spacing w:line="0" w:lineRule="atLeast"/>
              <w:ind w:firstLine="0" w:firstLineChars="0"/>
              <w:jc w:val="center"/>
              <w:rPr>
                <w:rFonts w:cs="Arial"/>
                <w:b/>
                <w:sz w:val="18"/>
                <w:szCs w:val="18"/>
              </w:rPr>
            </w:pPr>
            <w:r>
              <w:rPr>
                <w:rFonts w:hint="eastAsia" w:cs="Arial"/>
                <w:b/>
                <w:sz w:val="18"/>
                <w:szCs w:val="18"/>
              </w:rPr>
              <w:t>Ⅲ辽北低丘波状平原区</w:t>
            </w:r>
          </w:p>
        </w:tc>
        <w:tc>
          <w:tcPr>
            <w:tcW w:w="1316" w:type="dxa"/>
            <w:vMerge w:val="restart"/>
            <w:vAlign w:val="center"/>
          </w:tcPr>
          <w:p w14:paraId="43E29DB1">
            <w:pPr>
              <w:spacing w:line="0" w:lineRule="atLeast"/>
              <w:jc w:val="center"/>
              <w:rPr>
                <w:rFonts w:ascii="宋体" w:hAnsi="宋体" w:cs="Arial"/>
                <w:b/>
                <w:sz w:val="18"/>
                <w:szCs w:val="18"/>
              </w:rPr>
            </w:pPr>
            <w:r>
              <w:rPr>
                <w:rFonts w:hint="eastAsia" w:ascii="宋体" w:hAnsi="宋体" w:cs="Arial"/>
                <w:b/>
                <w:sz w:val="18"/>
                <w:szCs w:val="18"/>
              </w:rPr>
              <w:t>Ⅳ</w:t>
            </w:r>
            <w:r>
              <w:rPr>
                <w:rFonts w:hint="eastAsia" w:cs="Arial"/>
                <w:b/>
                <w:sz w:val="18"/>
                <w:szCs w:val="18"/>
              </w:rPr>
              <w:t>辽东山区</w:t>
            </w:r>
          </w:p>
        </w:tc>
        <w:tc>
          <w:tcPr>
            <w:tcW w:w="1609" w:type="dxa"/>
            <w:vMerge w:val="restart"/>
            <w:vAlign w:val="center"/>
          </w:tcPr>
          <w:p w14:paraId="73027E81">
            <w:pPr>
              <w:pStyle w:val="11"/>
              <w:spacing w:line="0" w:lineRule="atLeast"/>
              <w:ind w:firstLine="0" w:firstLineChars="0"/>
              <w:jc w:val="center"/>
              <w:rPr>
                <w:rFonts w:cs="Arial"/>
                <w:b/>
                <w:sz w:val="18"/>
                <w:szCs w:val="18"/>
              </w:rPr>
            </w:pPr>
            <w:r>
              <w:rPr>
                <w:rFonts w:hint="eastAsia" w:cs="Arial"/>
                <w:b/>
                <w:sz w:val="18"/>
                <w:szCs w:val="18"/>
              </w:rPr>
              <w:t>Ⅴ辽南半岛</w:t>
            </w:r>
          </w:p>
          <w:p w14:paraId="122A9CB5">
            <w:pPr>
              <w:spacing w:line="0" w:lineRule="atLeast"/>
              <w:jc w:val="center"/>
              <w:rPr>
                <w:rFonts w:ascii="宋体" w:hAnsi="宋体" w:cs="Arial"/>
                <w:b/>
                <w:sz w:val="18"/>
                <w:szCs w:val="18"/>
              </w:rPr>
            </w:pPr>
            <w:r>
              <w:rPr>
                <w:rFonts w:hint="eastAsia" w:cs="Arial"/>
                <w:b/>
                <w:sz w:val="18"/>
                <w:szCs w:val="18"/>
              </w:rPr>
              <w:t>丘陵区</w:t>
            </w:r>
          </w:p>
        </w:tc>
      </w:tr>
      <w:tr w14:paraId="6208F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652" w:type="dxa"/>
            <w:vMerge w:val="continue"/>
            <w:vAlign w:val="center"/>
          </w:tcPr>
          <w:p w14:paraId="52B28D5C">
            <w:pPr>
              <w:pStyle w:val="11"/>
              <w:spacing w:line="0" w:lineRule="atLeast"/>
              <w:ind w:firstLine="387"/>
              <w:rPr>
                <w:rFonts w:cs="Arial"/>
                <w:b/>
                <w:bCs/>
                <w:sz w:val="18"/>
                <w:szCs w:val="18"/>
              </w:rPr>
            </w:pPr>
          </w:p>
        </w:tc>
        <w:tc>
          <w:tcPr>
            <w:tcW w:w="1305" w:type="dxa"/>
            <w:vAlign w:val="center"/>
          </w:tcPr>
          <w:p w14:paraId="030BA557">
            <w:pPr>
              <w:pStyle w:val="11"/>
              <w:spacing w:line="0" w:lineRule="atLeast"/>
              <w:ind w:firstLine="0" w:firstLineChars="0"/>
              <w:jc w:val="center"/>
              <w:rPr>
                <w:rFonts w:cs="Arial"/>
                <w:b/>
                <w:sz w:val="18"/>
                <w:szCs w:val="18"/>
              </w:rPr>
            </w:pPr>
            <w:r>
              <w:rPr>
                <w:rFonts w:hint="eastAsia" w:cs="Arial"/>
                <w:b/>
                <w:sz w:val="18"/>
                <w:szCs w:val="18"/>
              </w:rPr>
              <w:t>I</w:t>
            </w:r>
            <w:r>
              <w:rPr>
                <w:rFonts w:cs="Arial"/>
                <w:b/>
                <w:sz w:val="18"/>
                <w:szCs w:val="18"/>
                <w:vertAlign w:val="subscript"/>
              </w:rPr>
              <w:t>1</w:t>
            </w:r>
          </w:p>
        </w:tc>
        <w:tc>
          <w:tcPr>
            <w:tcW w:w="1512" w:type="dxa"/>
            <w:vAlign w:val="center"/>
          </w:tcPr>
          <w:p w14:paraId="6C45D9C7">
            <w:pPr>
              <w:pStyle w:val="11"/>
              <w:spacing w:line="0" w:lineRule="atLeast"/>
              <w:ind w:firstLine="0" w:firstLineChars="0"/>
              <w:jc w:val="center"/>
              <w:rPr>
                <w:rFonts w:cs="Arial"/>
                <w:b/>
                <w:sz w:val="18"/>
                <w:szCs w:val="18"/>
              </w:rPr>
            </w:pPr>
            <w:r>
              <w:rPr>
                <w:rFonts w:hint="eastAsia" w:cs="Arial"/>
                <w:b/>
                <w:sz w:val="18"/>
                <w:szCs w:val="18"/>
              </w:rPr>
              <w:t>I</w:t>
            </w:r>
            <w:r>
              <w:rPr>
                <w:rFonts w:cs="Arial"/>
                <w:b/>
                <w:sz w:val="18"/>
                <w:szCs w:val="18"/>
                <w:vertAlign w:val="subscript"/>
              </w:rPr>
              <w:t>2</w:t>
            </w:r>
          </w:p>
        </w:tc>
        <w:tc>
          <w:tcPr>
            <w:tcW w:w="1444" w:type="dxa"/>
            <w:vMerge w:val="continue"/>
            <w:vAlign w:val="center"/>
          </w:tcPr>
          <w:p w14:paraId="61774D8E">
            <w:pPr>
              <w:pStyle w:val="11"/>
              <w:spacing w:line="0" w:lineRule="atLeast"/>
              <w:ind w:firstLine="0" w:firstLineChars="0"/>
              <w:jc w:val="center"/>
              <w:rPr>
                <w:rFonts w:cs="Arial"/>
                <w:b/>
                <w:sz w:val="18"/>
                <w:szCs w:val="18"/>
              </w:rPr>
            </w:pPr>
          </w:p>
        </w:tc>
        <w:tc>
          <w:tcPr>
            <w:tcW w:w="1470" w:type="dxa"/>
            <w:vMerge w:val="continue"/>
            <w:vAlign w:val="center"/>
          </w:tcPr>
          <w:p w14:paraId="143D01C8">
            <w:pPr>
              <w:pStyle w:val="11"/>
              <w:spacing w:line="0" w:lineRule="atLeast"/>
              <w:ind w:firstLine="0" w:firstLineChars="0"/>
              <w:jc w:val="center"/>
              <w:rPr>
                <w:rFonts w:cs="Arial"/>
                <w:b/>
                <w:sz w:val="18"/>
                <w:szCs w:val="18"/>
              </w:rPr>
            </w:pPr>
          </w:p>
        </w:tc>
        <w:tc>
          <w:tcPr>
            <w:tcW w:w="1316" w:type="dxa"/>
            <w:vMerge w:val="continue"/>
            <w:vAlign w:val="center"/>
          </w:tcPr>
          <w:p w14:paraId="41796C60">
            <w:pPr>
              <w:pStyle w:val="11"/>
              <w:spacing w:line="0" w:lineRule="atLeast"/>
              <w:ind w:firstLine="0" w:firstLineChars="0"/>
              <w:jc w:val="center"/>
              <w:rPr>
                <w:rFonts w:cs="Arial"/>
                <w:b/>
                <w:sz w:val="18"/>
                <w:szCs w:val="18"/>
              </w:rPr>
            </w:pPr>
          </w:p>
        </w:tc>
        <w:tc>
          <w:tcPr>
            <w:tcW w:w="1609" w:type="dxa"/>
            <w:vMerge w:val="continue"/>
            <w:vAlign w:val="center"/>
          </w:tcPr>
          <w:p w14:paraId="5FC6E519">
            <w:pPr>
              <w:pStyle w:val="11"/>
              <w:spacing w:line="0" w:lineRule="atLeast"/>
              <w:ind w:firstLine="387"/>
              <w:rPr>
                <w:rFonts w:cs="Arial"/>
                <w:b/>
                <w:sz w:val="18"/>
                <w:szCs w:val="18"/>
              </w:rPr>
            </w:pPr>
          </w:p>
        </w:tc>
      </w:tr>
      <w:tr w14:paraId="00FF5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0" w:hRule="atLeast"/>
          <w:jc w:val="center"/>
        </w:trPr>
        <w:tc>
          <w:tcPr>
            <w:tcW w:w="652" w:type="dxa"/>
            <w:vAlign w:val="center"/>
          </w:tcPr>
          <w:p w14:paraId="2D0E899C">
            <w:pPr>
              <w:pStyle w:val="11"/>
              <w:spacing w:line="0" w:lineRule="atLeast"/>
              <w:ind w:firstLine="0" w:firstLineChars="0"/>
              <w:jc w:val="center"/>
              <w:rPr>
                <w:rFonts w:cs="Arial"/>
                <w:sz w:val="18"/>
                <w:szCs w:val="18"/>
              </w:rPr>
            </w:pPr>
            <w:r>
              <w:rPr>
                <w:rFonts w:hint="eastAsia" w:cs="Arial"/>
                <w:sz w:val="18"/>
                <w:szCs w:val="18"/>
              </w:rPr>
              <w:t>县市名称</w:t>
            </w:r>
          </w:p>
        </w:tc>
        <w:tc>
          <w:tcPr>
            <w:tcW w:w="1305" w:type="dxa"/>
          </w:tcPr>
          <w:p w14:paraId="2DE8FE9D">
            <w:pPr>
              <w:pStyle w:val="10"/>
              <w:spacing w:after="0" w:line="0" w:lineRule="atLeast"/>
              <w:rPr>
                <w:rFonts w:ascii="宋体" w:hAnsi="宋体"/>
                <w:sz w:val="18"/>
                <w:szCs w:val="18"/>
              </w:rPr>
            </w:pPr>
            <w:r>
              <w:rPr>
                <w:rFonts w:hint="eastAsia" w:ascii="宋体" w:hAnsi="宋体"/>
                <w:sz w:val="18"/>
                <w:szCs w:val="18"/>
              </w:rPr>
              <w:t>阜新</w:t>
            </w:r>
            <w:r>
              <w:rPr>
                <w:rFonts w:ascii="宋体" w:hAnsi="宋体"/>
                <w:sz w:val="18"/>
                <w:szCs w:val="18"/>
              </w:rPr>
              <w:t>：</w:t>
            </w:r>
            <w:r>
              <w:rPr>
                <w:rFonts w:hint="eastAsia" w:ascii="宋体" w:hAnsi="宋体"/>
                <w:sz w:val="18"/>
                <w:szCs w:val="18"/>
              </w:rPr>
              <w:t>市郊区</w:t>
            </w:r>
          </w:p>
          <w:p w14:paraId="021828E3">
            <w:pPr>
              <w:pStyle w:val="10"/>
              <w:spacing w:after="0" w:line="0" w:lineRule="atLeast"/>
              <w:jc w:val="right"/>
              <w:rPr>
                <w:rFonts w:ascii="宋体" w:hAnsi="宋体"/>
                <w:sz w:val="18"/>
                <w:szCs w:val="18"/>
              </w:rPr>
            </w:pPr>
            <w:r>
              <w:rPr>
                <w:rFonts w:hint="eastAsia" w:ascii="宋体" w:hAnsi="宋体"/>
                <w:sz w:val="18"/>
                <w:szCs w:val="18"/>
              </w:rPr>
              <w:t>阜蒙县</w:t>
            </w:r>
          </w:p>
          <w:p w14:paraId="628CE9D4">
            <w:pPr>
              <w:pStyle w:val="10"/>
              <w:spacing w:after="0" w:line="0" w:lineRule="atLeast"/>
              <w:jc w:val="right"/>
              <w:rPr>
                <w:rFonts w:ascii="宋体" w:hAnsi="宋体"/>
                <w:sz w:val="18"/>
                <w:szCs w:val="18"/>
              </w:rPr>
            </w:pPr>
            <w:r>
              <w:rPr>
                <w:rFonts w:hint="eastAsia" w:ascii="宋体" w:hAnsi="宋体"/>
                <w:sz w:val="18"/>
                <w:szCs w:val="18"/>
              </w:rPr>
              <w:t>彰武县</w:t>
            </w:r>
          </w:p>
          <w:p w14:paraId="75E6961F">
            <w:pPr>
              <w:pStyle w:val="10"/>
              <w:spacing w:after="0" w:line="0" w:lineRule="atLeast"/>
              <w:rPr>
                <w:rFonts w:ascii="宋体" w:hAnsi="宋体"/>
                <w:sz w:val="18"/>
                <w:szCs w:val="18"/>
              </w:rPr>
            </w:pPr>
            <w:r>
              <w:rPr>
                <w:rFonts w:hint="eastAsia" w:ascii="宋体" w:hAnsi="宋体"/>
                <w:sz w:val="18"/>
                <w:szCs w:val="18"/>
              </w:rPr>
              <w:t>朝阳：市郊区</w:t>
            </w:r>
          </w:p>
          <w:p w14:paraId="0268C6CE">
            <w:pPr>
              <w:pStyle w:val="10"/>
              <w:spacing w:after="0" w:line="0" w:lineRule="atLeast"/>
              <w:jc w:val="right"/>
              <w:rPr>
                <w:rFonts w:ascii="宋体" w:hAnsi="宋体"/>
                <w:sz w:val="18"/>
                <w:szCs w:val="18"/>
              </w:rPr>
            </w:pPr>
            <w:r>
              <w:rPr>
                <w:rFonts w:hint="eastAsia" w:ascii="宋体" w:hAnsi="宋体"/>
                <w:sz w:val="18"/>
                <w:szCs w:val="18"/>
              </w:rPr>
              <w:t>朝阳县</w:t>
            </w:r>
          </w:p>
          <w:p w14:paraId="68B592EF">
            <w:pPr>
              <w:pStyle w:val="10"/>
              <w:spacing w:after="0" w:line="0" w:lineRule="atLeast"/>
              <w:jc w:val="right"/>
              <w:rPr>
                <w:rFonts w:ascii="宋体" w:hAnsi="宋体"/>
                <w:sz w:val="18"/>
                <w:szCs w:val="18"/>
              </w:rPr>
            </w:pPr>
            <w:r>
              <w:rPr>
                <w:rFonts w:hint="eastAsia" w:ascii="宋体" w:hAnsi="宋体"/>
                <w:sz w:val="18"/>
                <w:szCs w:val="18"/>
              </w:rPr>
              <w:t>北票市</w:t>
            </w:r>
          </w:p>
          <w:p w14:paraId="4C53623C">
            <w:pPr>
              <w:pStyle w:val="10"/>
              <w:spacing w:after="0" w:line="0" w:lineRule="atLeast"/>
              <w:jc w:val="right"/>
              <w:rPr>
                <w:rFonts w:ascii="宋体" w:hAnsi="宋体"/>
                <w:sz w:val="18"/>
                <w:szCs w:val="18"/>
              </w:rPr>
            </w:pPr>
            <w:r>
              <w:rPr>
                <w:rFonts w:hint="eastAsia" w:ascii="宋体" w:hAnsi="宋体"/>
                <w:sz w:val="18"/>
                <w:szCs w:val="18"/>
              </w:rPr>
              <w:t>建平县</w:t>
            </w:r>
          </w:p>
          <w:p w14:paraId="255DE716">
            <w:pPr>
              <w:pStyle w:val="10"/>
              <w:spacing w:after="0" w:line="0" w:lineRule="atLeast"/>
              <w:jc w:val="right"/>
              <w:rPr>
                <w:rFonts w:ascii="宋体" w:hAnsi="宋体"/>
                <w:sz w:val="18"/>
                <w:szCs w:val="18"/>
              </w:rPr>
            </w:pPr>
            <w:r>
              <w:rPr>
                <w:rFonts w:hint="eastAsia" w:ascii="宋体" w:hAnsi="宋体"/>
                <w:sz w:val="18"/>
                <w:szCs w:val="18"/>
              </w:rPr>
              <w:t>凌源市</w:t>
            </w:r>
          </w:p>
          <w:p w14:paraId="1D53A73C">
            <w:pPr>
              <w:pStyle w:val="10"/>
              <w:spacing w:after="0" w:line="0" w:lineRule="atLeast"/>
              <w:jc w:val="right"/>
              <w:rPr>
                <w:rFonts w:ascii="宋体" w:hAnsi="宋体"/>
                <w:sz w:val="18"/>
                <w:szCs w:val="18"/>
              </w:rPr>
            </w:pPr>
            <w:r>
              <w:rPr>
                <w:rFonts w:hint="eastAsia" w:ascii="宋体" w:hAnsi="宋体"/>
                <w:sz w:val="18"/>
                <w:szCs w:val="18"/>
              </w:rPr>
              <w:t xml:space="preserve">喀左县 </w:t>
            </w:r>
          </w:p>
        </w:tc>
        <w:tc>
          <w:tcPr>
            <w:tcW w:w="1512" w:type="dxa"/>
          </w:tcPr>
          <w:p w14:paraId="1F138F69">
            <w:pPr>
              <w:pStyle w:val="10"/>
              <w:spacing w:after="0" w:line="0" w:lineRule="atLeast"/>
              <w:rPr>
                <w:rFonts w:ascii="宋体" w:hAnsi="宋体"/>
                <w:sz w:val="18"/>
                <w:szCs w:val="18"/>
              </w:rPr>
            </w:pPr>
            <w:r>
              <w:rPr>
                <w:rFonts w:hint="eastAsia" w:ascii="宋体" w:hAnsi="宋体"/>
                <w:sz w:val="18"/>
                <w:szCs w:val="18"/>
              </w:rPr>
              <w:t>锦  州： 市郊区</w:t>
            </w:r>
          </w:p>
          <w:p w14:paraId="0A8719D9">
            <w:pPr>
              <w:pStyle w:val="10"/>
              <w:spacing w:after="0" w:line="0" w:lineRule="atLeast"/>
              <w:jc w:val="right"/>
              <w:rPr>
                <w:rFonts w:ascii="宋体" w:hAnsi="宋体"/>
                <w:sz w:val="18"/>
                <w:szCs w:val="18"/>
              </w:rPr>
            </w:pPr>
            <w:r>
              <w:rPr>
                <w:rFonts w:hint="eastAsia" w:ascii="宋体" w:hAnsi="宋体"/>
                <w:sz w:val="18"/>
                <w:szCs w:val="18"/>
              </w:rPr>
              <w:t>义  县</w:t>
            </w:r>
          </w:p>
          <w:p w14:paraId="3C4CC117">
            <w:pPr>
              <w:pStyle w:val="10"/>
              <w:spacing w:after="0" w:line="0" w:lineRule="atLeast"/>
              <w:jc w:val="right"/>
              <w:rPr>
                <w:rFonts w:ascii="宋体" w:hAnsi="宋体"/>
                <w:sz w:val="18"/>
                <w:szCs w:val="18"/>
              </w:rPr>
            </w:pPr>
            <w:r>
              <w:rPr>
                <w:rFonts w:hint="eastAsia" w:ascii="宋体" w:hAnsi="宋体"/>
                <w:sz w:val="18"/>
                <w:szCs w:val="18"/>
              </w:rPr>
              <w:t>凌海市</w:t>
            </w:r>
          </w:p>
          <w:p w14:paraId="204126CC">
            <w:pPr>
              <w:pStyle w:val="10"/>
              <w:spacing w:after="0" w:line="0" w:lineRule="atLeast"/>
              <w:rPr>
                <w:rFonts w:ascii="宋体" w:hAnsi="宋体"/>
                <w:sz w:val="18"/>
                <w:szCs w:val="18"/>
              </w:rPr>
            </w:pPr>
            <w:r>
              <w:rPr>
                <w:rFonts w:hint="eastAsia" w:ascii="宋体" w:hAnsi="宋体"/>
                <w:sz w:val="18"/>
                <w:szCs w:val="18"/>
              </w:rPr>
              <w:t>葫芦岛：市郊区</w:t>
            </w:r>
          </w:p>
          <w:p w14:paraId="5F08C596">
            <w:pPr>
              <w:pStyle w:val="10"/>
              <w:spacing w:after="0" w:line="0" w:lineRule="atLeast"/>
              <w:jc w:val="right"/>
              <w:rPr>
                <w:rFonts w:ascii="宋体" w:hAnsi="宋体"/>
                <w:sz w:val="18"/>
                <w:szCs w:val="18"/>
              </w:rPr>
            </w:pPr>
            <w:r>
              <w:rPr>
                <w:rFonts w:hint="eastAsia" w:ascii="宋体" w:hAnsi="宋体"/>
                <w:sz w:val="18"/>
                <w:szCs w:val="18"/>
              </w:rPr>
              <w:t>兴城市</w:t>
            </w:r>
          </w:p>
          <w:p w14:paraId="3DA6243F">
            <w:pPr>
              <w:pStyle w:val="10"/>
              <w:spacing w:after="0" w:line="0" w:lineRule="atLeast"/>
              <w:jc w:val="right"/>
              <w:rPr>
                <w:rFonts w:ascii="宋体" w:hAnsi="宋体"/>
                <w:sz w:val="18"/>
                <w:szCs w:val="18"/>
              </w:rPr>
            </w:pPr>
            <w:r>
              <w:rPr>
                <w:rFonts w:hint="eastAsia" w:ascii="宋体" w:hAnsi="宋体"/>
                <w:sz w:val="18"/>
                <w:szCs w:val="18"/>
              </w:rPr>
              <w:t>绥中县</w:t>
            </w:r>
          </w:p>
          <w:p w14:paraId="7675ECE7">
            <w:pPr>
              <w:pStyle w:val="10"/>
              <w:spacing w:after="0" w:line="0" w:lineRule="atLeast"/>
              <w:jc w:val="right"/>
              <w:rPr>
                <w:rFonts w:ascii="宋体" w:hAnsi="宋体"/>
                <w:sz w:val="18"/>
                <w:szCs w:val="18"/>
              </w:rPr>
            </w:pPr>
            <w:r>
              <w:rPr>
                <w:rFonts w:hint="eastAsia" w:ascii="宋体" w:hAnsi="宋体"/>
                <w:sz w:val="18"/>
                <w:szCs w:val="18"/>
              </w:rPr>
              <w:t>建昌县</w:t>
            </w:r>
          </w:p>
        </w:tc>
        <w:tc>
          <w:tcPr>
            <w:tcW w:w="1444" w:type="dxa"/>
          </w:tcPr>
          <w:p w14:paraId="77A18C3F">
            <w:pPr>
              <w:pStyle w:val="10"/>
              <w:spacing w:after="0" w:line="0" w:lineRule="atLeast"/>
              <w:rPr>
                <w:rFonts w:ascii="宋体" w:hAnsi="宋体"/>
                <w:sz w:val="18"/>
                <w:szCs w:val="18"/>
              </w:rPr>
            </w:pPr>
            <w:r>
              <w:rPr>
                <w:rFonts w:hint="eastAsia" w:ascii="宋体" w:hAnsi="宋体"/>
                <w:sz w:val="18"/>
                <w:szCs w:val="18"/>
              </w:rPr>
              <w:t>沈阳：市郊区</w:t>
            </w:r>
          </w:p>
          <w:p w14:paraId="3DD82575">
            <w:pPr>
              <w:pStyle w:val="10"/>
              <w:spacing w:after="0" w:line="0" w:lineRule="atLeast"/>
              <w:ind w:right="180"/>
              <w:jc w:val="right"/>
              <w:rPr>
                <w:rFonts w:ascii="宋体" w:hAnsi="宋体"/>
                <w:sz w:val="18"/>
                <w:szCs w:val="18"/>
              </w:rPr>
            </w:pPr>
            <w:r>
              <w:rPr>
                <w:rFonts w:hint="eastAsia" w:ascii="宋体" w:hAnsi="宋体"/>
                <w:sz w:val="18"/>
                <w:szCs w:val="18"/>
              </w:rPr>
              <w:t>辽中区</w:t>
            </w:r>
          </w:p>
          <w:p w14:paraId="6E660834">
            <w:pPr>
              <w:pStyle w:val="10"/>
              <w:spacing w:after="0" w:line="0" w:lineRule="atLeast"/>
              <w:ind w:right="180"/>
              <w:jc w:val="right"/>
              <w:rPr>
                <w:rFonts w:ascii="宋体" w:hAnsi="宋体"/>
                <w:sz w:val="18"/>
                <w:szCs w:val="18"/>
              </w:rPr>
            </w:pPr>
            <w:r>
              <w:rPr>
                <w:rFonts w:hint="eastAsia" w:ascii="宋体" w:hAnsi="宋体"/>
                <w:sz w:val="18"/>
                <w:szCs w:val="18"/>
              </w:rPr>
              <w:t>新民市</w:t>
            </w:r>
          </w:p>
          <w:p w14:paraId="3C952884">
            <w:pPr>
              <w:pStyle w:val="10"/>
              <w:spacing w:after="0" w:line="0" w:lineRule="atLeast"/>
              <w:rPr>
                <w:rFonts w:ascii="宋体" w:hAnsi="宋体"/>
                <w:sz w:val="18"/>
                <w:szCs w:val="18"/>
              </w:rPr>
            </w:pPr>
            <w:r>
              <w:rPr>
                <w:rFonts w:hint="eastAsia" w:ascii="宋体" w:hAnsi="宋体"/>
                <w:sz w:val="18"/>
                <w:szCs w:val="18"/>
              </w:rPr>
              <w:t>辽阳：市郊区</w:t>
            </w:r>
          </w:p>
          <w:p w14:paraId="4A3407D6">
            <w:pPr>
              <w:pStyle w:val="10"/>
              <w:spacing w:after="0" w:line="0" w:lineRule="atLeast"/>
              <w:ind w:right="180"/>
              <w:jc w:val="right"/>
              <w:rPr>
                <w:rFonts w:ascii="宋体" w:hAnsi="宋体"/>
                <w:sz w:val="18"/>
                <w:szCs w:val="18"/>
              </w:rPr>
            </w:pPr>
            <w:r>
              <w:rPr>
                <w:rFonts w:hint="eastAsia" w:ascii="宋体" w:hAnsi="宋体"/>
                <w:sz w:val="18"/>
                <w:szCs w:val="18"/>
              </w:rPr>
              <w:t>灯塔市</w:t>
            </w:r>
          </w:p>
          <w:p w14:paraId="0077393D">
            <w:pPr>
              <w:pStyle w:val="10"/>
              <w:spacing w:after="0" w:line="0" w:lineRule="atLeast"/>
              <w:ind w:right="180"/>
              <w:jc w:val="right"/>
              <w:rPr>
                <w:rFonts w:ascii="宋体" w:hAnsi="宋体"/>
                <w:sz w:val="18"/>
                <w:szCs w:val="18"/>
              </w:rPr>
            </w:pPr>
            <w:r>
              <w:rPr>
                <w:rFonts w:hint="eastAsia" w:ascii="宋体" w:hAnsi="宋体"/>
                <w:sz w:val="18"/>
                <w:szCs w:val="18"/>
              </w:rPr>
              <w:t>辽阳县</w:t>
            </w:r>
          </w:p>
          <w:p w14:paraId="79EEA573">
            <w:pPr>
              <w:pStyle w:val="10"/>
              <w:spacing w:after="0" w:line="0" w:lineRule="atLeast"/>
              <w:rPr>
                <w:rFonts w:ascii="宋体" w:hAnsi="宋体"/>
                <w:sz w:val="18"/>
                <w:szCs w:val="18"/>
              </w:rPr>
            </w:pPr>
            <w:r>
              <w:rPr>
                <w:rFonts w:hint="eastAsia" w:ascii="宋体" w:hAnsi="宋体"/>
                <w:sz w:val="18"/>
                <w:szCs w:val="18"/>
              </w:rPr>
              <w:t>鞍山：市郊区</w:t>
            </w:r>
          </w:p>
          <w:p w14:paraId="02C099B0">
            <w:pPr>
              <w:pStyle w:val="10"/>
              <w:spacing w:after="0" w:line="0" w:lineRule="atLeast"/>
              <w:ind w:right="180"/>
              <w:jc w:val="right"/>
              <w:rPr>
                <w:rFonts w:ascii="宋体" w:hAnsi="宋体"/>
                <w:sz w:val="18"/>
                <w:szCs w:val="18"/>
              </w:rPr>
            </w:pPr>
            <w:r>
              <w:rPr>
                <w:rFonts w:hint="eastAsia" w:ascii="宋体" w:hAnsi="宋体"/>
                <w:sz w:val="18"/>
                <w:szCs w:val="18"/>
              </w:rPr>
              <w:t>台安县</w:t>
            </w:r>
          </w:p>
          <w:p w14:paraId="3FCAFF5E">
            <w:pPr>
              <w:pStyle w:val="10"/>
              <w:spacing w:after="0" w:line="0" w:lineRule="atLeast"/>
              <w:ind w:right="180"/>
              <w:jc w:val="right"/>
              <w:rPr>
                <w:rFonts w:ascii="宋体" w:hAnsi="宋体"/>
                <w:sz w:val="18"/>
                <w:szCs w:val="18"/>
              </w:rPr>
            </w:pPr>
            <w:r>
              <w:rPr>
                <w:rFonts w:hint="eastAsia" w:ascii="宋体" w:hAnsi="宋体"/>
                <w:sz w:val="18"/>
                <w:szCs w:val="18"/>
              </w:rPr>
              <w:t>海城市</w:t>
            </w:r>
          </w:p>
          <w:p w14:paraId="69A9E86F">
            <w:pPr>
              <w:pStyle w:val="10"/>
              <w:spacing w:after="0" w:line="0" w:lineRule="atLeast"/>
              <w:rPr>
                <w:rFonts w:ascii="宋体" w:hAnsi="宋体"/>
                <w:sz w:val="18"/>
                <w:szCs w:val="18"/>
              </w:rPr>
            </w:pPr>
            <w:r>
              <w:rPr>
                <w:rFonts w:hint="eastAsia" w:ascii="宋体" w:hAnsi="宋体"/>
                <w:sz w:val="18"/>
                <w:szCs w:val="18"/>
              </w:rPr>
              <w:t>盘锦：市郊区</w:t>
            </w:r>
          </w:p>
          <w:p w14:paraId="7B877537">
            <w:pPr>
              <w:pStyle w:val="10"/>
              <w:spacing w:after="0" w:line="0" w:lineRule="atLeast"/>
              <w:ind w:right="180"/>
              <w:jc w:val="right"/>
              <w:rPr>
                <w:rFonts w:ascii="宋体" w:hAnsi="宋体"/>
                <w:sz w:val="18"/>
                <w:szCs w:val="18"/>
              </w:rPr>
            </w:pPr>
            <w:r>
              <w:rPr>
                <w:rFonts w:hint="eastAsia" w:ascii="宋体" w:hAnsi="宋体"/>
                <w:sz w:val="18"/>
                <w:szCs w:val="18"/>
              </w:rPr>
              <w:t>盘山县</w:t>
            </w:r>
          </w:p>
          <w:p w14:paraId="6B81CE62">
            <w:pPr>
              <w:pStyle w:val="10"/>
              <w:spacing w:after="0" w:line="0" w:lineRule="atLeast"/>
              <w:ind w:right="180"/>
              <w:jc w:val="right"/>
              <w:rPr>
                <w:rFonts w:ascii="宋体" w:hAnsi="宋体"/>
                <w:sz w:val="18"/>
                <w:szCs w:val="18"/>
              </w:rPr>
            </w:pPr>
            <w:r>
              <w:rPr>
                <w:rFonts w:hint="eastAsia" w:ascii="宋体" w:hAnsi="宋体"/>
                <w:sz w:val="18"/>
                <w:szCs w:val="18"/>
              </w:rPr>
              <w:t>大洼区</w:t>
            </w:r>
          </w:p>
          <w:p w14:paraId="5703287C">
            <w:pPr>
              <w:pStyle w:val="10"/>
              <w:spacing w:after="0" w:line="0" w:lineRule="atLeast"/>
              <w:rPr>
                <w:rFonts w:ascii="宋体" w:hAnsi="宋体"/>
                <w:sz w:val="18"/>
                <w:szCs w:val="18"/>
              </w:rPr>
            </w:pPr>
            <w:r>
              <w:rPr>
                <w:rFonts w:hint="eastAsia" w:ascii="宋体" w:hAnsi="宋体"/>
                <w:sz w:val="18"/>
                <w:szCs w:val="18"/>
              </w:rPr>
              <w:t>营口：市区</w:t>
            </w:r>
          </w:p>
          <w:p w14:paraId="1E7DA519">
            <w:pPr>
              <w:pStyle w:val="10"/>
              <w:spacing w:after="0" w:line="0" w:lineRule="atLeast"/>
              <w:jc w:val="right"/>
              <w:rPr>
                <w:rFonts w:ascii="宋体" w:hAnsi="宋体"/>
                <w:sz w:val="18"/>
                <w:szCs w:val="18"/>
              </w:rPr>
            </w:pPr>
            <w:r>
              <w:rPr>
                <w:rFonts w:hint="eastAsia" w:ascii="宋体" w:hAnsi="宋体"/>
                <w:sz w:val="18"/>
                <w:szCs w:val="18"/>
              </w:rPr>
              <w:t xml:space="preserve">大石桥市 </w:t>
            </w:r>
          </w:p>
          <w:p w14:paraId="0C5D1213">
            <w:pPr>
              <w:pStyle w:val="10"/>
              <w:spacing w:after="0" w:line="0" w:lineRule="atLeast"/>
              <w:rPr>
                <w:rFonts w:ascii="宋体" w:hAnsi="宋体"/>
                <w:sz w:val="18"/>
                <w:szCs w:val="18"/>
              </w:rPr>
            </w:pPr>
            <w:r>
              <w:rPr>
                <w:rFonts w:hint="eastAsia" w:ascii="宋体" w:hAnsi="宋体"/>
                <w:sz w:val="18"/>
                <w:szCs w:val="18"/>
              </w:rPr>
              <w:t>锦州：黑山县</w:t>
            </w:r>
          </w:p>
          <w:p w14:paraId="28F72D45">
            <w:pPr>
              <w:pStyle w:val="10"/>
              <w:spacing w:after="0" w:line="0" w:lineRule="atLeast"/>
              <w:ind w:right="180"/>
              <w:jc w:val="right"/>
              <w:rPr>
                <w:rFonts w:ascii="宋体" w:hAnsi="宋体"/>
                <w:sz w:val="18"/>
                <w:szCs w:val="18"/>
              </w:rPr>
            </w:pPr>
            <w:r>
              <w:rPr>
                <w:rFonts w:hint="eastAsia" w:ascii="宋体" w:hAnsi="宋体"/>
                <w:sz w:val="18"/>
                <w:szCs w:val="18"/>
              </w:rPr>
              <w:t>北镇</w:t>
            </w:r>
            <w:r>
              <w:rPr>
                <w:rFonts w:ascii="宋体" w:hAnsi="宋体"/>
                <w:sz w:val="18"/>
                <w:szCs w:val="18"/>
              </w:rPr>
              <w:t>市</w:t>
            </w:r>
          </w:p>
        </w:tc>
        <w:tc>
          <w:tcPr>
            <w:tcW w:w="1470" w:type="dxa"/>
          </w:tcPr>
          <w:p w14:paraId="6B877307">
            <w:pPr>
              <w:pStyle w:val="10"/>
              <w:spacing w:after="0" w:line="0" w:lineRule="atLeast"/>
              <w:rPr>
                <w:rFonts w:ascii="宋体" w:hAnsi="宋体"/>
                <w:sz w:val="18"/>
                <w:szCs w:val="18"/>
              </w:rPr>
            </w:pPr>
            <w:r>
              <w:rPr>
                <w:rFonts w:hint="eastAsia" w:ascii="宋体" w:hAnsi="宋体"/>
                <w:sz w:val="18"/>
                <w:szCs w:val="18"/>
              </w:rPr>
              <w:t>沈阳：康平县</w:t>
            </w:r>
          </w:p>
          <w:p w14:paraId="23E5CCC8">
            <w:pPr>
              <w:pStyle w:val="10"/>
              <w:spacing w:after="0" w:line="0" w:lineRule="atLeast"/>
              <w:ind w:right="180"/>
              <w:jc w:val="right"/>
              <w:rPr>
                <w:rFonts w:ascii="宋体" w:hAnsi="宋体"/>
                <w:sz w:val="18"/>
                <w:szCs w:val="18"/>
              </w:rPr>
            </w:pPr>
            <w:r>
              <w:rPr>
                <w:rFonts w:hint="eastAsia" w:ascii="宋体" w:hAnsi="宋体"/>
                <w:sz w:val="18"/>
                <w:szCs w:val="18"/>
              </w:rPr>
              <w:t>法库县</w:t>
            </w:r>
          </w:p>
          <w:p w14:paraId="1E7F5F41">
            <w:pPr>
              <w:pStyle w:val="10"/>
              <w:spacing w:after="0" w:line="0" w:lineRule="atLeast"/>
              <w:rPr>
                <w:rFonts w:ascii="宋体" w:hAnsi="宋体"/>
                <w:sz w:val="18"/>
                <w:szCs w:val="18"/>
              </w:rPr>
            </w:pPr>
            <w:r>
              <w:rPr>
                <w:rFonts w:hint="eastAsia" w:ascii="宋体" w:hAnsi="宋体"/>
                <w:sz w:val="18"/>
                <w:szCs w:val="18"/>
              </w:rPr>
              <w:t>铁岭：市郊区</w:t>
            </w:r>
          </w:p>
          <w:p w14:paraId="62C24048">
            <w:pPr>
              <w:pStyle w:val="10"/>
              <w:spacing w:after="0" w:line="0" w:lineRule="atLeast"/>
              <w:ind w:right="180"/>
              <w:jc w:val="right"/>
              <w:rPr>
                <w:rFonts w:ascii="宋体" w:hAnsi="宋体"/>
                <w:sz w:val="18"/>
                <w:szCs w:val="18"/>
              </w:rPr>
            </w:pPr>
            <w:r>
              <w:rPr>
                <w:rFonts w:hint="eastAsia" w:ascii="宋体" w:hAnsi="宋体"/>
                <w:sz w:val="18"/>
                <w:szCs w:val="18"/>
              </w:rPr>
              <w:t>昌图县</w:t>
            </w:r>
          </w:p>
          <w:p w14:paraId="350DA19C">
            <w:pPr>
              <w:pStyle w:val="10"/>
              <w:spacing w:after="0" w:line="0" w:lineRule="atLeast"/>
              <w:ind w:right="180"/>
              <w:jc w:val="right"/>
              <w:rPr>
                <w:rFonts w:ascii="宋体" w:hAnsi="宋体"/>
                <w:sz w:val="18"/>
                <w:szCs w:val="18"/>
              </w:rPr>
            </w:pPr>
            <w:r>
              <w:rPr>
                <w:rFonts w:hint="eastAsia" w:ascii="宋体" w:hAnsi="宋体"/>
                <w:sz w:val="18"/>
                <w:szCs w:val="18"/>
              </w:rPr>
              <w:t>开原市</w:t>
            </w:r>
          </w:p>
          <w:p w14:paraId="7747194D">
            <w:pPr>
              <w:pStyle w:val="10"/>
              <w:spacing w:after="0" w:line="0" w:lineRule="atLeast"/>
              <w:ind w:right="180"/>
              <w:jc w:val="right"/>
              <w:rPr>
                <w:rFonts w:ascii="宋体" w:hAnsi="宋体"/>
                <w:sz w:val="18"/>
                <w:szCs w:val="18"/>
              </w:rPr>
            </w:pPr>
            <w:r>
              <w:rPr>
                <w:rFonts w:hint="eastAsia" w:ascii="宋体" w:hAnsi="宋体"/>
                <w:sz w:val="18"/>
                <w:szCs w:val="18"/>
              </w:rPr>
              <w:t>铁岭县</w:t>
            </w:r>
          </w:p>
          <w:p w14:paraId="2DCFB256">
            <w:pPr>
              <w:pStyle w:val="10"/>
              <w:spacing w:after="0" w:line="0" w:lineRule="atLeast"/>
              <w:jc w:val="right"/>
              <w:rPr>
                <w:rFonts w:ascii="宋体" w:hAnsi="宋体"/>
                <w:sz w:val="18"/>
                <w:szCs w:val="18"/>
              </w:rPr>
            </w:pPr>
            <w:r>
              <w:rPr>
                <w:rFonts w:hint="eastAsia" w:ascii="宋体" w:hAnsi="宋体"/>
                <w:sz w:val="18"/>
                <w:szCs w:val="18"/>
              </w:rPr>
              <w:t>调兵山市</w:t>
            </w:r>
          </w:p>
          <w:p w14:paraId="1A512306">
            <w:pPr>
              <w:pStyle w:val="10"/>
              <w:spacing w:after="0" w:line="0" w:lineRule="atLeast"/>
              <w:ind w:right="180"/>
              <w:jc w:val="right"/>
              <w:rPr>
                <w:rFonts w:ascii="宋体" w:hAnsi="宋体"/>
                <w:sz w:val="18"/>
                <w:szCs w:val="18"/>
              </w:rPr>
            </w:pPr>
            <w:r>
              <w:rPr>
                <w:rFonts w:hint="eastAsia" w:ascii="宋体" w:hAnsi="宋体"/>
                <w:sz w:val="18"/>
                <w:szCs w:val="18"/>
              </w:rPr>
              <w:t>西丰县</w:t>
            </w:r>
          </w:p>
        </w:tc>
        <w:tc>
          <w:tcPr>
            <w:tcW w:w="1316" w:type="dxa"/>
          </w:tcPr>
          <w:p w14:paraId="565A59AE">
            <w:pPr>
              <w:pStyle w:val="10"/>
              <w:spacing w:after="0" w:line="0" w:lineRule="atLeast"/>
              <w:rPr>
                <w:rFonts w:ascii="宋体" w:hAnsi="宋体"/>
                <w:sz w:val="18"/>
                <w:szCs w:val="18"/>
              </w:rPr>
            </w:pPr>
            <w:r>
              <w:rPr>
                <w:rFonts w:hint="eastAsia" w:ascii="宋体" w:hAnsi="宋体"/>
                <w:sz w:val="18"/>
                <w:szCs w:val="18"/>
              </w:rPr>
              <w:t>丹东：市郊区</w:t>
            </w:r>
          </w:p>
          <w:p w14:paraId="7D650287">
            <w:pPr>
              <w:pStyle w:val="10"/>
              <w:spacing w:after="0" w:line="0" w:lineRule="atLeast"/>
              <w:jc w:val="right"/>
              <w:rPr>
                <w:rFonts w:ascii="宋体" w:hAnsi="宋体"/>
                <w:sz w:val="18"/>
                <w:szCs w:val="18"/>
              </w:rPr>
            </w:pPr>
            <w:r>
              <w:rPr>
                <w:rFonts w:hint="eastAsia" w:ascii="宋体" w:hAnsi="宋体"/>
                <w:sz w:val="18"/>
                <w:szCs w:val="18"/>
              </w:rPr>
              <w:t>东港市</w:t>
            </w:r>
          </w:p>
          <w:p w14:paraId="41BA87A3">
            <w:pPr>
              <w:pStyle w:val="10"/>
              <w:spacing w:after="0" w:line="0" w:lineRule="atLeast"/>
              <w:jc w:val="right"/>
              <w:rPr>
                <w:rFonts w:ascii="宋体" w:hAnsi="宋体"/>
                <w:sz w:val="18"/>
                <w:szCs w:val="18"/>
              </w:rPr>
            </w:pPr>
            <w:r>
              <w:rPr>
                <w:rFonts w:hint="eastAsia" w:ascii="宋体" w:hAnsi="宋体"/>
                <w:sz w:val="18"/>
                <w:szCs w:val="18"/>
              </w:rPr>
              <w:t>宽甸县</w:t>
            </w:r>
          </w:p>
          <w:p w14:paraId="09BDC14E">
            <w:pPr>
              <w:pStyle w:val="10"/>
              <w:spacing w:after="0" w:line="0" w:lineRule="atLeast"/>
              <w:jc w:val="right"/>
              <w:rPr>
                <w:rFonts w:ascii="宋体" w:hAnsi="宋体"/>
                <w:sz w:val="18"/>
                <w:szCs w:val="18"/>
              </w:rPr>
            </w:pPr>
            <w:r>
              <w:rPr>
                <w:rFonts w:hint="eastAsia" w:ascii="宋体" w:hAnsi="宋体"/>
                <w:sz w:val="18"/>
                <w:szCs w:val="18"/>
              </w:rPr>
              <w:t>凤城市</w:t>
            </w:r>
          </w:p>
          <w:p w14:paraId="22E70F4D">
            <w:pPr>
              <w:pStyle w:val="10"/>
              <w:spacing w:after="0" w:line="0" w:lineRule="atLeast"/>
              <w:rPr>
                <w:rFonts w:ascii="宋体" w:hAnsi="宋体"/>
                <w:sz w:val="18"/>
                <w:szCs w:val="18"/>
              </w:rPr>
            </w:pPr>
            <w:r>
              <w:rPr>
                <w:rFonts w:hint="eastAsia" w:ascii="宋体" w:hAnsi="宋体"/>
                <w:sz w:val="18"/>
                <w:szCs w:val="18"/>
              </w:rPr>
              <w:t>鞍山：岫岩县</w:t>
            </w:r>
          </w:p>
          <w:p w14:paraId="471BC483">
            <w:pPr>
              <w:pStyle w:val="10"/>
              <w:spacing w:after="0" w:line="0" w:lineRule="atLeast"/>
              <w:rPr>
                <w:rFonts w:ascii="宋体" w:hAnsi="宋体"/>
                <w:sz w:val="18"/>
                <w:szCs w:val="18"/>
              </w:rPr>
            </w:pPr>
            <w:r>
              <w:rPr>
                <w:rFonts w:hint="eastAsia" w:ascii="宋体" w:hAnsi="宋体"/>
                <w:sz w:val="18"/>
                <w:szCs w:val="18"/>
              </w:rPr>
              <w:t>本溪：市郊区</w:t>
            </w:r>
          </w:p>
          <w:p w14:paraId="110CC409">
            <w:pPr>
              <w:pStyle w:val="10"/>
              <w:spacing w:after="0" w:line="0" w:lineRule="atLeast"/>
              <w:jc w:val="right"/>
              <w:rPr>
                <w:rFonts w:ascii="宋体" w:hAnsi="宋体"/>
                <w:sz w:val="18"/>
                <w:szCs w:val="18"/>
              </w:rPr>
            </w:pPr>
            <w:r>
              <w:rPr>
                <w:rFonts w:hint="eastAsia" w:ascii="宋体" w:hAnsi="宋体"/>
                <w:sz w:val="18"/>
                <w:szCs w:val="18"/>
              </w:rPr>
              <w:t>本溪县</w:t>
            </w:r>
          </w:p>
          <w:p w14:paraId="780C1832">
            <w:pPr>
              <w:pStyle w:val="10"/>
              <w:spacing w:after="0" w:line="0" w:lineRule="atLeast"/>
              <w:jc w:val="right"/>
              <w:rPr>
                <w:rFonts w:ascii="宋体" w:hAnsi="宋体"/>
                <w:sz w:val="18"/>
                <w:szCs w:val="18"/>
              </w:rPr>
            </w:pPr>
            <w:r>
              <w:rPr>
                <w:rFonts w:hint="eastAsia" w:ascii="宋体" w:hAnsi="宋体"/>
                <w:sz w:val="18"/>
                <w:szCs w:val="18"/>
              </w:rPr>
              <w:t>桓仁县</w:t>
            </w:r>
          </w:p>
          <w:p w14:paraId="300E2D7C">
            <w:pPr>
              <w:pStyle w:val="10"/>
              <w:spacing w:after="0" w:line="0" w:lineRule="atLeast"/>
              <w:rPr>
                <w:rFonts w:ascii="宋体" w:hAnsi="宋体"/>
                <w:sz w:val="18"/>
                <w:szCs w:val="18"/>
              </w:rPr>
            </w:pPr>
            <w:r>
              <w:rPr>
                <w:rFonts w:hint="eastAsia" w:ascii="宋体" w:hAnsi="宋体"/>
                <w:sz w:val="18"/>
                <w:szCs w:val="18"/>
              </w:rPr>
              <w:t>抚顺：市郊区</w:t>
            </w:r>
          </w:p>
          <w:p w14:paraId="62415086">
            <w:pPr>
              <w:pStyle w:val="10"/>
              <w:spacing w:after="0" w:line="0" w:lineRule="atLeast"/>
              <w:jc w:val="right"/>
              <w:rPr>
                <w:rFonts w:ascii="宋体" w:hAnsi="宋体"/>
                <w:sz w:val="18"/>
                <w:szCs w:val="18"/>
              </w:rPr>
            </w:pPr>
            <w:r>
              <w:rPr>
                <w:rFonts w:hint="eastAsia" w:ascii="宋体" w:hAnsi="宋体"/>
                <w:sz w:val="18"/>
                <w:szCs w:val="18"/>
              </w:rPr>
              <w:t>抚顺县</w:t>
            </w:r>
          </w:p>
          <w:p w14:paraId="549EF40E">
            <w:pPr>
              <w:pStyle w:val="10"/>
              <w:spacing w:after="0" w:line="0" w:lineRule="atLeast"/>
              <w:jc w:val="right"/>
              <w:rPr>
                <w:rFonts w:ascii="宋体" w:hAnsi="宋体"/>
                <w:sz w:val="18"/>
                <w:szCs w:val="18"/>
              </w:rPr>
            </w:pPr>
            <w:r>
              <w:rPr>
                <w:rFonts w:hint="eastAsia" w:ascii="宋体" w:hAnsi="宋体"/>
                <w:sz w:val="18"/>
                <w:szCs w:val="18"/>
              </w:rPr>
              <w:t>清原县</w:t>
            </w:r>
          </w:p>
          <w:p w14:paraId="2B8548F6">
            <w:pPr>
              <w:pStyle w:val="10"/>
              <w:spacing w:after="0" w:line="0" w:lineRule="atLeast"/>
              <w:jc w:val="right"/>
              <w:rPr>
                <w:rFonts w:ascii="宋体" w:hAnsi="宋体"/>
                <w:sz w:val="18"/>
                <w:szCs w:val="18"/>
              </w:rPr>
            </w:pPr>
            <w:r>
              <w:rPr>
                <w:rFonts w:hint="eastAsia" w:ascii="宋体" w:hAnsi="宋体"/>
                <w:sz w:val="18"/>
                <w:szCs w:val="18"/>
              </w:rPr>
              <w:t>新宾县</w:t>
            </w:r>
          </w:p>
        </w:tc>
        <w:tc>
          <w:tcPr>
            <w:tcW w:w="1609" w:type="dxa"/>
          </w:tcPr>
          <w:p w14:paraId="2B6E11C6">
            <w:pPr>
              <w:pStyle w:val="10"/>
              <w:spacing w:after="0" w:line="0" w:lineRule="atLeast"/>
              <w:rPr>
                <w:rFonts w:ascii="宋体" w:hAnsi="宋体"/>
                <w:sz w:val="18"/>
                <w:szCs w:val="18"/>
              </w:rPr>
            </w:pPr>
            <w:r>
              <w:rPr>
                <w:rFonts w:hint="eastAsia" w:ascii="宋体" w:hAnsi="宋体"/>
                <w:sz w:val="18"/>
                <w:szCs w:val="18"/>
              </w:rPr>
              <w:t>大连：市郊区</w:t>
            </w:r>
          </w:p>
          <w:p w14:paraId="35FE57DD">
            <w:pPr>
              <w:pStyle w:val="10"/>
              <w:spacing w:after="0" w:line="0" w:lineRule="atLeast"/>
              <w:ind w:right="180"/>
              <w:jc w:val="right"/>
              <w:rPr>
                <w:rFonts w:ascii="宋体" w:hAnsi="宋体"/>
                <w:sz w:val="18"/>
                <w:szCs w:val="18"/>
              </w:rPr>
            </w:pPr>
            <w:r>
              <w:rPr>
                <w:rFonts w:hint="eastAsia" w:ascii="宋体" w:hAnsi="宋体"/>
                <w:sz w:val="18"/>
                <w:szCs w:val="18"/>
              </w:rPr>
              <w:t>庄河市</w:t>
            </w:r>
          </w:p>
          <w:p w14:paraId="06D32E38">
            <w:pPr>
              <w:pStyle w:val="10"/>
              <w:spacing w:after="0" w:line="0" w:lineRule="atLeast"/>
              <w:jc w:val="right"/>
              <w:rPr>
                <w:rFonts w:ascii="宋体" w:hAnsi="宋体"/>
                <w:sz w:val="18"/>
                <w:szCs w:val="18"/>
              </w:rPr>
            </w:pPr>
            <w:r>
              <w:rPr>
                <w:rFonts w:hint="eastAsia" w:ascii="宋体" w:hAnsi="宋体"/>
                <w:sz w:val="18"/>
                <w:szCs w:val="18"/>
              </w:rPr>
              <w:t>瓦房店市</w:t>
            </w:r>
          </w:p>
          <w:p w14:paraId="1D3D059B">
            <w:pPr>
              <w:pStyle w:val="10"/>
              <w:spacing w:after="0" w:line="0" w:lineRule="atLeast"/>
              <w:jc w:val="right"/>
              <w:rPr>
                <w:rFonts w:ascii="宋体" w:hAnsi="宋体"/>
                <w:sz w:val="18"/>
                <w:szCs w:val="18"/>
              </w:rPr>
            </w:pPr>
            <w:r>
              <w:rPr>
                <w:rFonts w:hint="eastAsia" w:ascii="宋体" w:hAnsi="宋体"/>
                <w:sz w:val="18"/>
                <w:szCs w:val="18"/>
              </w:rPr>
              <w:t>普兰店区</w:t>
            </w:r>
          </w:p>
          <w:p w14:paraId="03D2B312">
            <w:pPr>
              <w:pStyle w:val="10"/>
              <w:spacing w:after="0" w:line="0" w:lineRule="atLeast"/>
              <w:ind w:right="180"/>
              <w:jc w:val="right"/>
              <w:rPr>
                <w:rFonts w:ascii="宋体" w:hAnsi="宋体"/>
                <w:sz w:val="18"/>
                <w:szCs w:val="18"/>
              </w:rPr>
            </w:pPr>
            <w:r>
              <w:rPr>
                <w:rFonts w:hint="eastAsia" w:ascii="宋体" w:hAnsi="宋体"/>
                <w:sz w:val="18"/>
                <w:szCs w:val="18"/>
              </w:rPr>
              <w:t>长海县</w:t>
            </w:r>
          </w:p>
          <w:p w14:paraId="0E31BE61">
            <w:pPr>
              <w:pStyle w:val="10"/>
              <w:spacing w:after="0" w:line="0" w:lineRule="atLeast"/>
              <w:rPr>
                <w:rFonts w:ascii="宋体" w:hAnsi="宋体"/>
                <w:sz w:val="18"/>
                <w:szCs w:val="18"/>
              </w:rPr>
            </w:pPr>
            <w:r>
              <w:rPr>
                <w:rFonts w:hint="eastAsia" w:ascii="宋体" w:hAnsi="宋体"/>
                <w:sz w:val="18"/>
                <w:szCs w:val="18"/>
              </w:rPr>
              <w:t>营口：盖州市</w:t>
            </w:r>
          </w:p>
          <w:p w14:paraId="53745734">
            <w:pPr>
              <w:pStyle w:val="10"/>
              <w:spacing w:after="0" w:line="0" w:lineRule="atLeast"/>
              <w:rPr>
                <w:rFonts w:ascii="宋体" w:hAnsi="宋体"/>
                <w:sz w:val="18"/>
                <w:szCs w:val="18"/>
              </w:rPr>
            </w:pPr>
            <w:r>
              <w:rPr>
                <w:rFonts w:hint="eastAsia" w:ascii="宋体" w:hAnsi="宋体"/>
                <w:sz w:val="18"/>
                <w:szCs w:val="18"/>
              </w:rPr>
              <w:t xml:space="preserve">      鲅鱼圈</w:t>
            </w:r>
            <w:r>
              <w:rPr>
                <w:rFonts w:ascii="宋体" w:hAnsi="宋体"/>
                <w:sz w:val="18"/>
                <w:szCs w:val="18"/>
              </w:rPr>
              <w:t>区</w:t>
            </w:r>
          </w:p>
        </w:tc>
      </w:tr>
    </w:tbl>
    <w:p w14:paraId="1EC76105">
      <w:pPr>
        <w:pStyle w:val="47"/>
        <w:numPr>
          <w:ilvl w:val="0"/>
          <w:numId w:val="3"/>
        </w:numPr>
        <w:spacing w:line="360" w:lineRule="auto"/>
        <w:ind w:left="0" w:firstLine="0" w:firstLineChars="0"/>
        <w:jc w:val="left"/>
        <w:rPr>
          <w:rFonts w:ascii="Times New Roman" w:hAnsi="Times New Roman"/>
          <w:sz w:val="24"/>
        </w:rPr>
      </w:pPr>
      <w:r>
        <w:rPr>
          <w:rFonts w:hint="eastAsia" w:ascii="Times New Roman" w:hAnsi="Times New Roman"/>
          <w:sz w:val="24"/>
        </w:rPr>
        <w:t>降水量保证率</w:t>
      </w:r>
      <w:r>
        <w:rPr>
          <w:rFonts w:ascii="Times New Roman" w:hAnsi="Times New Roman"/>
          <w:sz w:val="24"/>
        </w:rPr>
        <w:t>变化</w:t>
      </w:r>
    </w:p>
    <w:p w14:paraId="7820F85D">
      <w:pPr>
        <w:pStyle w:val="47"/>
        <w:spacing w:line="360" w:lineRule="auto"/>
        <w:ind w:firstLineChars="0"/>
        <w:jc w:val="left"/>
        <w:rPr>
          <w:rFonts w:ascii="Times New Roman" w:hAnsi="Times New Roman"/>
          <w:sz w:val="24"/>
        </w:rPr>
      </w:pPr>
      <w:r>
        <w:rPr>
          <w:rFonts w:hint="eastAsia" w:ascii="Times New Roman" w:hAnsi="Times New Roman"/>
          <w:sz w:val="24"/>
        </w:rPr>
        <w:t>本次修订仍分为50%、75%、85%三种降水量保证率。</w:t>
      </w:r>
    </w:p>
    <w:p w14:paraId="53E8F621">
      <w:pPr>
        <w:pStyle w:val="47"/>
        <w:numPr>
          <w:ilvl w:val="0"/>
          <w:numId w:val="3"/>
        </w:numPr>
        <w:spacing w:line="360" w:lineRule="auto"/>
        <w:ind w:left="0" w:firstLine="0" w:firstLineChars="0"/>
        <w:jc w:val="left"/>
        <w:rPr>
          <w:rFonts w:ascii="Times New Roman" w:hAnsi="Times New Roman"/>
          <w:sz w:val="24"/>
        </w:rPr>
      </w:pPr>
      <w:r>
        <w:rPr>
          <w:rFonts w:hint="eastAsia" w:ascii="Times New Roman" w:hAnsi="Times New Roman"/>
          <w:sz w:val="24"/>
        </w:rPr>
        <w:t>修订内容</w:t>
      </w:r>
    </w:p>
    <w:p w14:paraId="0AA45625">
      <w:pPr>
        <w:pStyle w:val="47"/>
        <w:spacing w:line="360" w:lineRule="auto"/>
        <w:ind w:firstLine="482"/>
        <w:jc w:val="left"/>
        <w:rPr>
          <w:rFonts w:ascii="Times New Roman" w:hAnsi="Times New Roman"/>
          <w:b/>
          <w:sz w:val="24"/>
        </w:rPr>
      </w:pPr>
      <w:r>
        <w:rPr>
          <w:rFonts w:ascii="Times New Roman" w:hAnsi="Times New Roman"/>
          <w:b/>
          <w:sz w:val="24"/>
        </w:rPr>
        <w:fldChar w:fldCharType="begin"/>
      </w:r>
      <w:r>
        <w:rPr>
          <w:rFonts w:ascii="Times New Roman" w:hAnsi="Times New Roman"/>
          <w:b/>
          <w:sz w:val="24"/>
        </w:rPr>
        <w:instrText xml:space="preserve"> </w:instrText>
      </w:r>
      <w:r>
        <w:rPr>
          <w:rFonts w:hint="eastAsia" w:ascii="Times New Roman" w:hAnsi="Times New Roman"/>
          <w:b/>
          <w:sz w:val="24"/>
        </w:rPr>
        <w:instrText xml:space="preserve">= 1 \* GB3</w:instrText>
      </w:r>
      <w:r>
        <w:rPr>
          <w:rFonts w:ascii="Times New Roman" w:hAnsi="Times New Roman"/>
          <w:b/>
          <w:sz w:val="24"/>
        </w:rPr>
        <w:instrText xml:space="preserve"> </w:instrText>
      </w:r>
      <w:r>
        <w:rPr>
          <w:rFonts w:ascii="Times New Roman" w:hAnsi="Times New Roman"/>
          <w:b/>
          <w:sz w:val="24"/>
        </w:rPr>
        <w:fldChar w:fldCharType="separate"/>
      </w:r>
      <w:r>
        <w:rPr>
          <w:rFonts w:hint="eastAsia" w:ascii="Times New Roman" w:hAnsi="Times New Roman"/>
          <w:b/>
          <w:sz w:val="24"/>
        </w:rPr>
        <w:t>①</w:t>
      </w:r>
      <w:r>
        <w:rPr>
          <w:rFonts w:ascii="Times New Roman" w:hAnsi="Times New Roman"/>
          <w:b/>
          <w:sz w:val="24"/>
        </w:rPr>
        <w:fldChar w:fldCharType="end"/>
      </w:r>
      <w:r>
        <w:rPr>
          <w:rFonts w:hint="eastAsia" w:ascii="Times New Roman" w:hAnsi="Times New Roman"/>
          <w:b/>
          <w:sz w:val="24"/>
        </w:rPr>
        <w:t>农业灌溉用水定额修订</w:t>
      </w:r>
    </w:p>
    <w:p w14:paraId="5CA90160">
      <w:pPr>
        <w:pStyle w:val="47"/>
        <w:spacing w:line="360" w:lineRule="auto"/>
        <w:ind w:firstLine="480"/>
        <w:jc w:val="left"/>
        <w:rPr>
          <w:rFonts w:ascii="Times New Roman" w:hAnsi="Times New Roman"/>
          <w:sz w:val="24"/>
        </w:rPr>
      </w:pPr>
      <w:r>
        <w:rPr>
          <w:rFonts w:hint="eastAsia" w:ascii="Times New Roman" w:hAnsi="Times New Roman"/>
          <w:sz w:val="24"/>
        </w:rPr>
        <w:t>2020版《定额》共制定了32种作物2790个定额，每种作物分别制定了6个分区3个水文年（50%、75%、85%）5个定额值。定额值：分为通用值和先进值（渠道、管道、喷灌、微灌）。根据运用过程中存在的主要问题，本次修订</w:t>
      </w:r>
      <w:r>
        <w:rPr>
          <w:rFonts w:ascii="Times New Roman" w:hAnsi="Times New Roman"/>
          <w:sz w:val="24"/>
        </w:rPr>
        <w:t>4</w:t>
      </w:r>
      <w:r>
        <w:rPr>
          <w:rFonts w:hint="eastAsia" w:ascii="Times New Roman" w:hAnsi="Times New Roman"/>
          <w:sz w:val="24"/>
        </w:rPr>
        <w:t>种作物</w:t>
      </w:r>
      <w:r>
        <w:rPr>
          <w:rFonts w:ascii="Times New Roman" w:hAnsi="Times New Roman"/>
          <w:sz w:val="24"/>
        </w:rPr>
        <w:t>360</w:t>
      </w:r>
      <w:r>
        <w:rPr>
          <w:rFonts w:hint="eastAsia" w:ascii="Times New Roman" w:hAnsi="Times New Roman"/>
          <w:sz w:val="24"/>
        </w:rPr>
        <w:t>个定额，补充制定</w:t>
      </w:r>
      <w:r>
        <w:rPr>
          <w:rFonts w:ascii="Times New Roman" w:hAnsi="Times New Roman"/>
          <w:sz w:val="24"/>
        </w:rPr>
        <w:t>11</w:t>
      </w:r>
      <w:r>
        <w:rPr>
          <w:rFonts w:hint="eastAsia" w:ascii="Times New Roman" w:hAnsi="Times New Roman"/>
          <w:sz w:val="24"/>
        </w:rPr>
        <w:t>种作物</w:t>
      </w:r>
      <w:r>
        <w:rPr>
          <w:rFonts w:ascii="Times New Roman" w:hAnsi="Times New Roman"/>
          <w:sz w:val="24"/>
        </w:rPr>
        <w:t>156</w:t>
      </w:r>
      <w:r>
        <w:rPr>
          <w:rFonts w:hint="eastAsia" w:ascii="Times New Roman" w:hAnsi="Times New Roman"/>
          <w:sz w:val="24"/>
        </w:rPr>
        <w:t>个定额，复核</w:t>
      </w:r>
      <w:r>
        <w:rPr>
          <w:rFonts w:ascii="Times New Roman" w:hAnsi="Times New Roman"/>
          <w:sz w:val="24"/>
        </w:rPr>
        <w:t>28</w:t>
      </w:r>
      <w:r>
        <w:rPr>
          <w:rFonts w:hint="eastAsia" w:ascii="Times New Roman" w:hAnsi="Times New Roman"/>
          <w:sz w:val="24"/>
        </w:rPr>
        <w:t>种作物</w:t>
      </w:r>
      <w:r>
        <w:rPr>
          <w:rFonts w:ascii="Times New Roman" w:hAnsi="Times New Roman"/>
          <w:sz w:val="24"/>
        </w:rPr>
        <w:t>840</w:t>
      </w:r>
      <w:r>
        <w:rPr>
          <w:rFonts w:hint="eastAsia" w:ascii="Times New Roman" w:hAnsi="Times New Roman"/>
          <w:sz w:val="24"/>
        </w:rPr>
        <w:t>个定额，具体内容如下：</w:t>
      </w:r>
    </w:p>
    <w:p w14:paraId="2F2737DB">
      <w:pPr>
        <w:pStyle w:val="47"/>
        <w:spacing w:line="360" w:lineRule="auto"/>
        <w:ind w:firstLine="480"/>
        <w:jc w:val="left"/>
        <w:rPr>
          <w:rFonts w:ascii="Times New Roman" w:hAnsi="Times New Roman"/>
          <w:sz w:val="24"/>
        </w:rPr>
      </w:pPr>
      <w:r>
        <w:rPr>
          <w:rFonts w:hint="eastAsia" w:ascii="Times New Roman" w:hAnsi="Times New Roman"/>
          <w:sz w:val="24"/>
        </w:rPr>
        <w:t>（a）定额修订：水稻、玉米、花生、薯芋类</w:t>
      </w:r>
      <w:r>
        <w:rPr>
          <w:rFonts w:ascii="Times New Roman" w:hAnsi="Times New Roman"/>
          <w:sz w:val="24"/>
        </w:rPr>
        <w:t>4</w:t>
      </w:r>
      <w:r>
        <w:rPr>
          <w:rFonts w:hint="eastAsia" w:ascii="Times New Roman" w:hAnsi="Times New Roman"/>
          <w:sz w:val="24"/>
        </w:rPr>
        <w:t>种作物</w:t>
      </w:r>
      <w:r>
        <w:rPr>
          <w:rFonts w:ascii="Times New Roman" w:hAnsi="Times New Roman"/>
          <w:sz w:val="24"/>
        </w:rPr>
        <w:t>360</w:t>
      </w:r>
      <w:r>
        <w:rPr>
          <w:rFonts w:hint="eastAsia" w:ascii="Times New Roman" w:hAnsi="Times New Roman"/>
          <w:sz w:val="24"/>
        </w:rPr>
        <w:t>个定额。</w:t>
      </w:r>
    </w:p>
    <w:p w14:paraId="63994C54">
      <w:pPr>
        <w:pStyle w:val="47"/>
        <w:spacing w:line="360" w:lineRule="auto"/>
        <w:ind w:firstLine="480"/>
        <w:jc w:val="left"/>
        <w:rPr>
          <w:rFonts w:ascii="Times New Roman" w:hAnsi="Times New Roman"/>
          <w:sz w:val="24"/>
        </w:rPr>
      </w:pPr>
      <w:r>
        <w:rPr>
          <w:rFonts w:hint="eastAsia" w:ascii="Times New Roman" w:hAnsi="Times New Roman"/>
          <w:sz w:val="24"/>
        </w:rPr>
        <w:t>（b）定额补充：补充中药材种植中人参的用水定额；设施农业按作物各类补充制定</w:t>
      </w:r>
      <w:r>
        <w:rPr>
          <w:rFonts w:ascii="Times New Roman" w:hAnsi="Times New Roman"/>
          <w:sz w:val="24"/>
        </w:rPr>
        <w:t>10</w:t>
      </w:r>
      <w:r>
        <w:rPr>
          <w:rFonts w:hint="eastAsia" w:ascii="Times New Roman" w:hAnsi="Times New Roman"/>
          <w:sz w:val="24"/>
        </w:rPr>
        <w:t>种作物12</w:t>
      </w:r>
      <w:r>
        <w:rPr>
          <w:rFonts w:ascii="Times New Roman" w:hAnsi="Times New Roman"/>
          <w:sz w:val="24"/>
        </w:rPr>
        <w:t>0</w:t>
      </w:r>
      <w:r>
        <w:rPr>
          <w:rFonts w:hint="eastAsia" w:ascii="Times New Roman" w:hAnsi="Times New Roman"/>
          <w:sz w:val="24"/>
        </w:rPr>
        <w:t>个定额（绿叶类蔬菜、豆类蔬菜、瓜类蔬菜、茄果类蔬菜、葡萄、蓝莓、草莓、西瓜、花卉、食用菌类）。</w:t>
      </w:r>
    </w:p>
    <w:p w14:paraId="3B3B7F71">
      <w:pPr>
        <w:pStyle w:val="47"/>
        <w:spacing w:line="360" w:lineRule="auto"/>
        <w:ind w:firstLine="480"/>
        <w:jc w:val="left"/>
        <w:rPr>
          <w:rFonts w:ascii="Times New Roman" w:hAnsi="Times New Roman"/>
          <w:sz w:val="24"/>
        </w:rPr>
      </w:pPr>
      <w:r>
        <w:rPr>
          <w:rFonts w:hint="eastAsia" w:ascii="Times New Roman" w:hAnsi="Times New Roman"/>
          <w:sz w:val="24"/>
        </w:rPr>
        <w:t>（c）定额复核：小麦、大豆、谷子、高粱、烟叶、绿叶类、白菜类、根菜类、豆类、瓜类、葱蒜类、茄果类、苹果、梨、葡萄、蓝莓、草莓、西瓜、向日葵、芝麻、棉花、亚麻、甜菜、木耳、蘑菇、山楂、芦苇、牧草</w:t>
      </w:r>
      <w:r>
        <w:rPr>
          <w:rFonts w:ascii="Times New Roman" w:hAnsi="Times New Roman"/>
          <w:sz w:val="24"/>
        </w:rPr>
        <w:t>28</w:t>
      </w:r>
      <w:r>
        <w:rPr>
          <w:rFonts w:hint="eastAsia" w:ascii="Times New Roman" w:hAnsi="Times New Roman"/>
          <w:sz w:val="24"/>
        </w:rPr>
        <w:t>种作物</w:t>
      </w:r>
      <w:r>
        <w:rPr>
          <w:rFonts w:ascii="Times New Roman" w:hAnsi="Times New Roman"/>
          <w:sz w:val="24"/>
        </w:rPr>
        <w:t>840</w:t>
      </w:r>
      <w:r>
        <w:rPr>
          <w:rFonts w:hint="eastAsia" w:ascii="Times New Roman" w:hAnsi="Times New Roman"/>
          <w:sz w:val="24"/>
        </w:rPr>
        <w:t>个定额。</w:t>
      </w:r>
    </w:p>
    <w:p w14:paraId="6922D86A">
      <w:pPr>
        <w:pStyle w:val="47"/>
        <w:spacing w:line="360" w:lineRule="auto"/>
        <w:ind w:firstLine="482"/>
        <w:jc w:val="left"/>
        <w:rPr>
          <w:rFonts w:ascii="Times New Roman" w:hAnsi="Times New Roman"/>
          <w:b/>
          <w:sz w:val="24"/>
        </w:rPr>
      </w:pPr>
      <w:r>
        <w:rPr>
          <w:rFonts w:ascii="Times New Roman" w:hAnsi="Times New Roman"/>
          <w:b/>
          <w:sz w:val="24"/>
        </w:rPr>
        <w:fldChar w:fldCharType="begin"/>
      </w:r>
      <w:r>
        <w:rPr>
          <w:rFonts w:ascii="Times New Roman" w:hAnsi="Times New Roman"/>
          <w:b/>
          <w:sz w:val="24"/>
        </w:rPr>
        <w:instrText xml:space="preserve"> </w:instrText>
      </w:r>
      <w:r>
        <w:rPr>
          <w:rFonts w:hint="eastAsia" w:ascii="Times New Roman" w:hAnsi="Times New Roman"/>
          <w:b/>
          <w:sz w:val="24"/>
        </w:rPr>
        <w:instrText xml:space="preserve">= 2 \* GB3</w:instrText>
      </w:r>
      <w:r>
        <w:rPr>
          <w:rFonts w:ascii="Times New Roman" w:hAnsi="Times New Roman"/>
          <w:b/>
          <w:sz w:val="24"/>
        </w:rPr>
        <w:instrText xml:space="preserve"> </w:instrText>
      </w:r>
      <w:r>
        <w:rPr>
          <w:rFonts w:ascii="Times New Roman" w:hAnsi="Times New Roman"/>
          <w:b/>
          <w:sz w:val="24"/>
        </w:rPr>
        <w:fldChar w:fldCharType="separate"/>
      </w:r>
      <w:r>
        <w:rPr>
          <w:rFonts w:hint="eastAsia" w:ascii="Times New Roman" w:hAnsi="Times New Roman"/>
          <w:b/>
          <w:sz w:val="24"/>
        </w:rPr>
        <w:t>②</w:t>
      </w:r>
      <w:r>
        <w:rPr>
          <w:rFonts w:ascii="Times New Roman" w:hAnsi="Times New Roman"/>
          <w:b/>
          <w:sz w:val="24"/>
        </w:rPr>
        <w:fldChar w:fldCharType="end"/>
      </w:r>
      <w:r>
        <w:rPr>
          <w:rFonts w:hint="eastAsia" w:ascii="Times New Roman" w:hAnsi="Times New Roman"/>
          <w:b/>
          <w:sz w:val="24"/>
        </w:rPr>
        <w:t xml:space="preserve"> 林业灌溉定额修订</w:t>
      </w:r>
    </w:p>
    <w:p w14:paraId="2817D019">
      <w:pPr>
        <w:pStyle w:val="47"/>
        <w:spacing w:line="360" w:lineRule="auto"/>
        <w:ind w:firstLine="480"/>
        <w:jc w:val="left"/>
        <w:rPr>
          <w:rFonts w:ascii="Times New Roman" w:hAnsi="Times New Roman"/>
          <w:sz w:val="24"/>
        </w:rPr>
      </w:pPr>
      <w:r>
        <w:rPr>
          <w:rFonts w:hint="eastAsia" w:ascii="Times New Roman" w:hAnsi="Times New Roman"/>
          <w:sz w:val="24"/>
        </w:rPr>
        <w:t>2020版《定额》共制定了2种作物180个定额，每种作物分别制定了6个分区3个水文年（50%、75%、85%）5个定额值。定额值：分为通用值和先进值（渠道、管道、喷灌、微灌）。考虑不同树种灌溉制度和需水量差异性，本次对《定额》中苗圃、速生林2种作物180定额进行复核。</w:t>
      </w:r>
    </w:p>
    <w:p w14:paraId="79D171B6">
      <w:pPr>
        <w:pStyle w:val="47"/>
        <w:spacing w:line="360" w:lineRule="auto"/>
        <w:ind w:firstLine="482"/>
        <w:jc w:val="left"/>
        <w:rPr>
          <w:rFonts w:ascii="Times New Roman" w:hAnsi="Times New Roman"/>
          <w:b/>
          <w:sz w:val="24"/>
        </w:rPr>
      </w:pPr>
      <w:r>
        <w:rPr>
          <w:rFonts w:ascii="Times New Roman" w:hAnsi="Times New Roman"/>
          <w:b/>
          <w:sz w:val="24"/>
        </w:rPr>
        <w:fldChar w:fldCharType="begin"/>
      </w:r>
      <w:r>
        <w:rPr>
          <w:rFonts w:ascii="Times New Roman" w:hAnsi="Times New Roman"/>
          <w:b/>
          <w:sz w:val="24"/>
        </w:rPr>
        <w:instrText xml:space="preserve"> </w:instrText>
      </w:r>
      <w:r>
        <w:rPr>
          <w:rFonts w:hint="eastAsia" w:ascii="Times New Roman" w:hAnsi="Times New Roman"/>
          <w:b/>
          <w:sz w:val="24"/>
        </w:rPr>
        <w:instrText xml:space="preserve">= 3 \* GB3</w:instrText>
      </w:r>
      <w:r>
        <w:rPr>
          <w:rFonts w:ascii="Times New Roman" w:hAnsi="Times New Roman"/>
          <w:b/>
          <w:sz w:val="24"/>
        </w:rPr>
        <w:instrText xml:space="preserve"> </w:instrText>
      </w:r>
      <w:r>
        <w:rPr>
          <w:rFonts w:ascii="Times New Roman" w:hAnsi="Times New Roman"/>
          <w:b/>
          <w:sz w:val="24"/>
        </w:rPr>
        <w:fldChar w:fldCharType="separate"/>
      </w:r>
      <w:r>
        <w:rPr>
          <w:rFonts w:hint="eastAsia" w:ascii="Times New Roman" w:hAnsi="Times New Roman"/>
          <w:b/>
          <w:sz w:val="24"/>
        </w:rPr>
        <w:t>③</w:t>
      </w:r>
      <w:r>
        <w:rPr>
          <w:rFonts w:ascii="Times New Roman" w:hAnsi="Times New Roman"/>
          <w:b/>
          <w:sz w:val="24"/>
        </w:rPr>
        <w:fldChar w:fldCharType="end"/>
      </w:r>
      <w:r>
        <w:rPr>
          <w:rFonts w:hint="eastAsia" w:ascii="Times New Roman" w:hAnsi="Times New Roman"/>
          <w:b/>
          <w:sz w:val="24"/>
        </w:rPr>
        <w:t>畜牧业用水定额修订</w:t>
      </w:r>
    </w:p>
    <w:p w14:paraId="046BECD2">
      <w:pPr>
        <w:pStyle w:val="47"/>
        <w:spacing w:line="360" w:lineRule="auto"/>
        <w:ind w:firstLine="480"/>
        <w:jc w:val="left"/>
        <w:rPr>
          <w:rFonts w:ascii="Times New Roman" w:hAnsi="Times New Roman"/>
          <w:sz w:val="24"/>
        </w:rPr>
      </w:pPr>
      <w:r>
        <w:rPr>
          <w:rFonts w:hint="eastAsia" w:ascii="Times New Roman" w:hAnsi="Times New Roman"/>
          <w:sz w:val="24"/>
        </w:rPr>
        <w:t>2020版《定额》共制定了14种作物52个定额。随着养殖场饲养用水设施不断完善（如喷淋设备）、卫生环境的改善（如清洁用水），用水量不断增加，导致《定额》与实际用水有一定的偏差。本次重点修订了</w:t>
      </w:r>
      <w:bookmarkStart w:id="14" w:name="OLE_LINK16"/>
      <w:bookmarkStart w:id="15" w:name="OLE_LINK17"/>
      <w:r>
        <w:rPr>
          <w:rFonts w:hint="eastAsia" w:ascii="Times New Roman" w:hAnsi="Times New Roman"/>
          <w:sz w:val="24"/>
        </w:rPr>
        <w:t>奶牛、育成牛、育肥猪、母猪等</w:t>
      </w:r>
      <w:r>
        <w:rPr>
          <w:rFonts w:ascii="Times New Roman" w:hAnsi="Times New Roman"/>
          <w:sz w:val="24"/>
        </w:rPr>
        <w:t>4</w:t>
      </w:r>
      <w:r>
        <w:rPr>
          <w:rFonts w:hint="eastAsia" w:ascii="Times New Roman" w:hAnsi="Times New Roman"/>
          <w:sz w:val="24"/>
        </w:rPr>
        <w:t>种畜禽</w:t>
      </w:r>
      <w:bookmarkEnd w:id="14"/>
      <w:bookmarkEnd w:id="15"/>
      <w:r>
        <w:rPr>
          <w:rFonts w:ascii="Times New Roman" w:hAnsi="Times New Roman"/>
          <w:sz w:val="24"/>
        </w:rPr>
        <w:t>2</w:t>
      </w:r>
      <w:r>
        <w:rPr>
          <w:rFonts w:hint="eastAsia" w:ascii="Times New Roman" w:hAnsi="Times New Roman"/>
          <w:sz w:val="24"/>
        </w:rPr>
        <w:t>0个定额，补充制定犊牛1种牲畜4个定额，对《定额》中其它</w:t>
      </w:r>
      <w:r>
        <w:rPr>
          <w:rFonts w:ascii="Times New Roman" w:hAnsi="Times New Roman"/>
          <w:sz w:val="24"/>
        </w:rPr>
        <w:t>10</w:t>
      </w:r>
      <w:r>
        <w:rPr>
          <w:rFonts w:hint="eastAsia" w:ascii="Times New Roman" w:hAnsi="Times New Roman"/>
          <w:sz w:val="24"/>
        </w:rPr>
        <w:t>种畜禽（羊、鹿、鸡、鸭、鹅、兔、马、狗、驴、骡）</w:t>
      </w:r>
      <w:r>
        <w:rPr>
          <w:rFonts w:ascii="Times New Roman" w:hAnsi="Times New Roman"/>
          <w:sz w:val="24"/>
        </w:rPr>
        <w:t>3</w:t>
      </w:r>
      <w:r>
        <w:rPr>
          <w:rFonts w:hint="eastAsia" w:ascii="Times New Roman" w:hAnsi="Times New Roman"/>
          <w:sz w:val="24"/>
        </w:rPr>
        <w:t>2个定额进行复核。</w:t>
      </w:r>
    </w:p>
    <w:p w14:paraId="1A2909E1">
      <w:pPr>
        <w:pStyle w:val="47"/>
        <w:spacing w:line="360" w:lineRule="auto"/>
        <w:ind w:firstLine="482"/>
        <w:jc w:val="left"/>
        <w:rPr>
          <w:rFonts w:ascii="Times New Roman" w:hAnsi="Times New Roman"/>
          <w:b/>
          <w:sz w:val="24"/>
        </w:rPr>
      </w:pPr>
      <w:r>
        <w:rPr>
          <w:rFonts w:ascii="Times New Roman" w:hAnsi="Times New Roman"/>
          <w:b/>
          <w:sz w:val="24"/>
        </w:rPr>
        <w:fldChar w:fldCharType="begin"/>
      </w:r>
      <w:r>
        <w:rPr>
          <w:rFonts w:ascii="Times New Roman" w:hAnsi="Times New Roman"/>
          <w:b/>
          <w:sz w:val="24"/>
        </w:rPr>
        <w:instrText xml:space="preserve"> </w:instrText>
      </w:r>
      <w:r>
        <w:rPr>
          <w:rFonts w:hint="eastAsia" w:ascii="Times New Roman" w:hAnsi="Times New Roman"/>
          <w:b/>
          <w:sz w:val="24"/>
        </w:rPr>
        <w:instrText xml:space="preserve">= 4 \* GB3</w:instrText>
      </w:r>
      <w:r>
        <w:rPr>
          <w:rFonts w:ascii="Times New Roman" w:hAnsi="Times New Roman"/>
          <w:b/>
          <w:sz w:val="24"/>
        </w:rPr>
        <w:instrText xml:space="preserve"> </w:instrText>
      </w:r>
      <w:r>
        <w:rPr>
          <w:rFonts w:ascii="Times New Roman" w:hAnsi="Times New Roman"/>
          <w:b/>
          <w:sz w:val="24"/>
        </w:rPr>
        <w:fldChar w:fldCharType="separate"/>
      </w:r>
      <w:r>
        <w:rPr>
          <w:rFonts w:hint="eastAsia" w:ascii="Times New Roman" w:hAnsi="Times New Roman"/>
          <w:b/>
          <w:sz w:val="24"/>
        </w:rPr>
        <w:t>④</w:t>
      </w:r>
      <w:r>
        <w:rPr>
          <w:rFonts w:ascii="Times New Roman" w:hAnsi="Times New Roman"/>
          <w:b/>
          <w:sz w:val="24"/>
        </w:rPr>
        <w:fldChar w:fldCharType="end"/>
      </w:r>
      <w:r>
        <w:rPr>
          <w:rFonts w:hint="eastAsia" w:ascii="Times New Roman" w:hAnsi="Times New Roman"/>
          <w:b/>
          <w:sz w:val="24"/>
        </w:rPr>
        <w:t>渔业用水定额修订</w:t>
      </w:r>
    </w:p>
    <w:p w14:paraId="73B16581">
      <w:pPr>
        <w:pStyle w:val="47"/>
        <w:spacing w:line="360" w:lineRule="auto"/>
        <w:ind w:firstLine="480"/>
        <w:jc w:val="left"/>
        <w:rPr>
          <w:rFonts w:ascii="Times New Roman" w:hAnsi="Times New Roman"/>
          <w:sz w:val="24"/>
        </w:rPr>
      </w:pPr>
      <w:r>
        <w:rPr>
          <w:rFonts w:hint="eastAsia" w:ascii="Times New Roman" w:hAnsi="Times New Roman"/>
          <w:sz w:val="24"/>
        </w:rPr>
        <w:t>2020版《定额》共制定了2种作物36个定额，每种作物分别制定了6个分区3个水文年（50%、75%、85%）3个定额值。考虑不同鱼类和饲养方式的不同，对用水需求的差异性，本次对淡水养鱼、稻田养蟹2种产品36个定额进行复核。</w:t>
      </w:r>
    </w:p>
    <w:p w14:paraId="575C5F11">
      <w:pPr>
        <w:pStyle w:val="47"/>
        <w:numPr>
          <w:ilvl w:val="0"/>
          <w:numId w:val="3"/>
        </w:numPr>
        <w:spacing w:line="360" w:lineRule="auto"/>
        <w:ind w:left="0" w:firstLine="0" w:firstLineChars="0"/>
        <w:jc w:val="left"/>
        <w:rPr>
          <w:rFonts w:ascii="Times New Roman" w:hAnsi="Times New Roman"/>
          <w:sz w:val="24"/>
        </w:rPr>
      </w:pPr>
      <w:r>
        <w:rPr>
          <w:rFonts w:hint="eastAsia" w:ascii="Times New Roman" w:hAnsi="Times New Roman"/>
          <w:sz w:val="24"/>
        </w:rPr>
        <w:t>产品名称及</w:t>
      </w:r>
      <w:r>
        <w:rPr>
          <w:rFonts w:ascii="Times New Roman" w:hAnsi="Times New Roman"/>
          <w:sz w:val="24"/>
        </w:rPr>
        <w:t>归类变化</w:t>
      </w:r>
    </w:p>
    <w:p w14:paraId="128A39D5">
      <w:pPr>
        <w:pStyle w:val="47"/>
        <w:spacing w:line="360" w:lineRule="auto"/>
        <w:ind w:firstLine="480"/>
        <w:jc w:val="left"/>
        <w:rPr>
          <w:rFonts w:ascii="Times New Roman" w:hAnsi="Times New Roman"/>
          <w:sz w:val="24"/>
        </w:rPr>
      </w:pPr>
      <w:r>
        <w:rPr>
          <w:rFonts w:hint="eastAsia" w:ascii="Times New Roman" w:hAnsi="Times New Roman"/>
          <w:sz w:val="24"/>
        </w:rPr>
        <w:t>本次农、林、牧、渔业新增了</w:t>
      </w:r>
      <w:r>
        <w:rPr>
          <w:rFonts w:ascii="Times New Roman" w:hAnsi="Times New Roman"/>
          <w:sz w:val="24"/>
        </w:rPr>
        <w:t>12</w:t>
      </w:r>
      <w:r>
        <w:rPr>
          <w:rFonts w:hint="eastAsia" w:ascii="Times New Roman" w:hAnsi="Times New Roman"/>
          <w:sz w:val="24"/>
        </w:rPr>
        <w:t>种产品。</w:t>
      </w:r>
    </w:p>
    <w:p w14:paraId="6BCF0B7A">
      <w:pPr>
        <w:pStyle w:val="7"/>
        <w:keepNext/>
        <w:rPr>
          <w:rFonts w:ascii="Times New Roman" w:hAnsi="Times New Roman"/>
          <w:sz w:val="21"/>
          <w:szCs w:val="21"/>
        </w:rPr>
      </w:pPr>
      <w:r>
        <w:rPr>
          <w:rFonts w:ascii="Times New Roman" w:hAnsi="Times New Roman"/>
          <w:sz w:val="21"/>
          <w:szCs w:val="21"/>
        </w:rPr>
        <w:t xml:space="preserve">表 2                 </w:t>
      </w:r>
      <w:r>
        <w:rPr>
          <w:rFonts w:hint="eastAsia" w:ascii="Times New Roman" w:hAnsi="Times New Roman"/>
          <w:sz w:val="21"/>
          <w:szCs w:val="21"/>
        </w:rPr>
        <w:t>农、林、牧、渔业产品名称及归类明细表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027"/>
        <w:gridCol w:w="1984"/>
        <w:gridCol w:w="1419"/>
        <w:gridCol w:w="2695"/>
        <w:gridCol w:w="762"/>
      </w:tblGrid>
      <w:tr w14:paraId="75E2A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vMerge w:val="restart"/>
            <w:noWrap/>
            <w:vAlign w:val="center"/>
          </w:tcPr>
          <w:p w14:paraId="57020563">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765" w:type="pct"/>
            <w:gridSpan w:val="2"/>
            <w:noWrap/>
            <w:vAlign w:val="center"/>
          </w:tcPr>
          <w:p w14:paraId="232A062E">
            <w:pPr>
              <w:widowControl/>
              <w:jc w:val="center"/>
              <w:rPr>
                <w:rFonts w:ascii="宋体" w:hAnsi="宋体" w:cs="宋体"/>
                <w:b/>
                <w:bCs/>
                <w:color w:val="000000"/>
                <w:kern w:val="0"/>
                <w:szCs w:val="21"/>
              </w:rPr>
            </w:pPr>
            <w:r>
              <w:rPr>
                <w:rFonts w:hint="eastAsia" w:ascii="宋体" w:hAnsi="宋体" w:cs="宋体"/>
                <w:b/>
                <w:bCs/>
                <w:color w:val="000000"/>
                <w:kern w:val="0"/>
                <w:szCs w:val="21"/>
              </w:rPr>
              <w:t>产品名称</w:t>
            </w:r>
          </w:p>
        </w:tc>
        <w:tc>
          <w:tcPr>
            <w:tcW w:w="2412" w:type="pct"/>
            <w:gridSpan w:val="2"/>
            <w:vAlign w:val="center"/>
          </w:tcPr>
          <w:p w14:paraId="0AD51DD1">
            <w:pPr>
              <w:widowControl/>
              <w:jc w:val="center"/>
              <w:rPr>
                <w:rFonts w:ascii="宋体" w:hAnsi="宋体" w:cs="宋体"/>
                <w:b/>
                <w:bCs/>
                <w:color w:val="000000"/>
                <w:kern w:val="0"/>
                <w:szCs w:val="21"/>
              </w:rPr>
            </w:pPr>
            <w:r>
              <w:rPr>
                <w:rFonts w:hint="eastAsia" w:ascii="宋体" w:hAnsi="宋体" w:cs="宋体"/>
                <w:b/>
                <w:bCs/>
                <w:color w:val="000000"/>
                <w:kern w:val="0"/>
                <w:szCs w:val="21"/>
              </w:rPr>
              <w:t>行业分类</w:t>
            </w:r>
          </w:p>
        </w:tc>
        <w:tc>
          <w:tcPr>
            <w:tcW w:w="447" w:type="pct"/>
            <w:vMerge w:val="restart"/>
            <w:vAlign w:val="center"/>
          </w:tcPr>
          <w:p w14:paraId="1CB65FA4">
            <w:pPr>
              <w:widowControl/>
              <w:jc w:val="center"/>
              <w:rPr>
                <w:rFonts w:ascii="宋体" w:hAnsi="宋体" w:cs="宋体"/>
                <w:b/>
                <w:bCs/>
                <w:color w:val="000000"/>
                <w:kern w:val="0"/>
                <w:szCs w:val="21"/>
              </w:rPr>
            </w:pPr>
            <w:r>
              <w:rPr>
                <w:rFonts w:hint="eastAsia" w:ascii="宋体" w:hAnsi="宋体" w:cs="宋体"/>
                <w:b/>
                <w:bCs/>
                <w:color w:val="000000"/>
                <w:kern w:val="0"/>
                <w:szCs w:val="21"/>
              </w:rPr>
              <w:t>备注</w:t>
            </w:r>
          </w:p>
        </w:tc>
      </w:tr>
      <w:tr w14:paraId="4551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vMerge w:val="continue"/>
            <w:vAlign w:val="center"/>
          </w:tcPr>
          <w:p w14:paraId="3F536449">
            <w:pPr>
              <w:widowControl/>
              <w:jc w:val="center"/>
              <w:rPr>
                <w:rFonts w:ascii="宋体" w:hAnsi="宋体" w:cs="宋体"/>
                <w:b/>
                <w:bCs/>
                <w:color w:val="000000"/>
                <w:kern w:val="0"/>
                <w:szCs w:val="21"/>
              </w:rPr>
            </w:pPr>
          </w:p>
        </w:tc>
        <w:tc>
          <w:tcPr>
            <w:tcW w:w="602" w:type="pct"/>
            <w:vAlign w:val="center"/>
          </w:tcPr>
          <w:p w14:paraId="7B43E198">
            <w:pPr>
              <w:widowControl/>
              <w:jc w:val="center"/>
              <w:rPr>
                <w:rFonts w:ascii="宋体" w:hAnsi="宋体" w:cs="宋体"/>
                <w:b/>
                <w:bCs/>
                <w:color w:val="000000"/>
                <w:kern w:val="0"/>
                <w:szCs w:val="21"/>
              </w:rPr>
            </w:pPr>
            <w:r>
              <w:rPr>
                <w:rFonts w:hint="eastAsia" w:ascii="宋体" w:hAnsi="宋体" w:cs="宋体"/>
                <w:b/>
                <w:bCs/>
                <w:color w:val="000000"/>
                <w:kern w:val="0"/>
                <w:szCs w:val="21"/>
              </w:rPr>
              <w:t>修订前</w:t>
            </w:r>
          </w:p>
        </w:tc>
        <w:tc>
          <w:tcPr>
            <w:tcW w:w="1163" w:type="pct"/>
            <w:vAlign w:val="center"/>
          </w:tcPr>
          <w:p w14:paraId="3BED3DB2">
            <w:pPr>
              <w:widowControl/>
              <w:jc w:val="center"/>
              <w:rPr>
                <w:rFonts w:ascii="宋体" w:hAnsi="宋体" w:cs="宋体"/>
                <w:b/>
                <w:bCs/>
                <w:color w:val="000000"/>
                <w:kern w:val="0"/>
                <w:szCs w:val="21"/>
              </w:rPr>
            </w:pPr>
            <w:r>
              <w:rPr>
                <w:rFonts w:hint="eastAsia" w:ascii="宋体" w:hAnsi="宋体" w:cs="宋体"/>
                <w:b/>
                <w:bCs/>
                <w:color w:val="000000"/>
                <w:kern w:val="0"/>
                <w:szCs w:val="21"/>
              </w:rPr>
              <w:t>修订后</w:t>
            </w:r>
          </w:p>
        </w:tc>
        <w:tc>
          <w:tcPr>
            <w:tcW w:w="832" w:type="pct"/>
            <w:vAlign w:val="center"/>
          </w:tcPr>
          <w:p w14:paraId="2E5728D9">
            <w:pPr>
              <w:widowControl/>
              <w:jc w:val="center"/>
              <w:rPr>
                <w:rFonts w:ascii="宋体" w:hAnsi="宋体" w:cs="宋体"/>
                <w:b/>
                <w:bCs/>
                <w:color w:val="000000"/>
                <w:kern w:val="0"/>
                <w:szCs w:val="21"/>
              </w:rPr>
            </w:pPr>
            <w:r>
              <w:rPr>
                <w:rFonts w:hint="eastAsia" w:ascii="宋体" w:hAnsi="宋体" w:cs="宋体"/>
                <w:b/>
                <w:bCs/>
                <w:color w:val="000000"/>
                <w:kern w:val="0"/>
                <w:szCs w:val="21"/>
              </w:rPr>
              <w:t>修订前</w:t>
            </w:r>
          </w:p>
        </w:tc>
        <w:tc>
          <w:tcPr>
            <w:tcW w:w="1580" w:type="pct"/>
            <w:vAlign w:val="center"/>
          </w:tcPr>
          <w:p w14:paraId="0DB1B6A8">
            <w:pPr>
              <w:widowControl/>
              <w:jc w:val="center"/>
              <w:rPr>
                <w:rFonts w:ascii="宋体" w:hAnsi="宋体" w:cs="宋体"/>
                <w:b/>
                <w:bCs/>
                <w:color w:val="000000"/>
                <w:kern w:val="0"/>
                <w:szCs w:val="21"/>
              </w:rPr>
            </w:pPr>
            <w:r>
              <w:rPr>
                <w:rFonts w:hint="eastAsia" w:ascii="宋体" w:hAnsi="宋体" w:cs="宋体"/>
                <w:b/>
                <w:bCs/>
                <w:color w:val="000000"/>
                <w:kern w:val="0"/>
                <w:szCs w:val="21"/>
              </w:rPr>
              <w:t>修订后</w:t>
            </w:r>
          </w:p>
        </w:tc>
        <w:tc>
          <w:tcPr>
            <w:tcW w:w="447" w:type="pct"/>
            <w:vMerge w:val="continue"/>
            <w:vAlign w:val="center"/>
          </w:tcPr>
          <w:p w14:paraId="3AE31B4E">
            <w:pPr>
              <w:widowControl/>
              <w:jc w:val="center"/>
              <w:rPr>
                <w:rFonts w:ascii="宋体" w:hAnsi="宋体" w:cs="宋体"/>
                <w:b/>
                <w:bCs/>
                <w:color w:val="000000"/>
                <w:kern w:val="0"/>
                <w:szCs w:val="21"/>
              </w:rPr>
            </w:pPr>
          </w:p>
        </w:tc>
      </w:tr>
      <w:tr w14:paraId="1C1D5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noWrap/>
            <w:vAlign w:val="center"/>
          </w:tcPr>
          <w:p w14:paraId="05FD7309">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602" w:type="pct"/>
          </w:tcPr>
          <w:p w14:paraId="1854EEF8">
            <w:pPr>
              <w:jc w:val="center"/>
              <w:rPr>
                <w:rFonts w:ascii="宋体" w:hAnsi="宋体" w:cs="宋体"/>
                <w:color w:val="000000"/>
                <w:kern w:val="0"/>
                <w:szCs w:val="21"/>
              </w:rPr>
            </w:pPr>
            <w:r>
              <w:rPr>
                <w:rFonts w:hint="eastAsia" w:ascii="宋体" w:hAnsi="宋体" w:cs="宋体"/>
                <w:color w:val="000000"/>
                <w:kern w:val="0"/>
                <w:szCs w:val="21"/>
              </w:rPr>
              <w:t>/</w:t>
            </w:r>
          </w:p>
        </w:tc>
        <w:tc>
          <w:tcPr>
            <w:tcW w:w="1163" w:type="pct"/>
            <w:vAlign w:val="center"/>
          </w:tcPr>
          <w:p w14:paraId="72DA8C60">
            <w:pPr>
              <w:widowControl/>
              <w:jc w:val="center"/>
              <w:rPr>
                <w:rFonts w:ascii="宋体" w:hAnsi="宋体" w:cs="宋体"/>
                <w:color w:val="000000"/>
                <w:kern w:val="0"/>
                <w:szCs w:val="21"/>
              </w:rPr>
            </w:pPr>
            <w:r>
              <w:rPr>
                <w:rFonts w:ascii="宋体" w:hAnsi="宋体" w:cs="宋体"/>
                <w:color w:val="000000"/>
                <w:kern w:val="0"/>
                <w:szCs w:val="21"/>
              </w:rPr>
              <w:t>人参</w:t>
            </w:r>
          </w:p>
        </w:tc>
        <w:tc>
          <w:tcPr>
            <w:tcW w:w="832" w:type="pct"/>
          </w:tcPr>
          <w:p w14:paraId="0C324B30">
            <w:pPr>
              <w:jc w:val="center"/>
              <w:rPr>
                <w:rFonts w:ascii="宋体" w:hAnsi="宋体" w:cs="宋体"/>
                <w:color w:val="000000"/>
                <w:kern w:val="0"/>
                <w:szCs w:val="21"/>
              </w:rPr>
            </w:pPr>
            <w:r>
              <w:rPr>
                <w:rFonts w:hint="eastAsia" w:ascii="宋体" w:hAnsi="宋体" w:cs="宋体"/>
                <w:color w:val="000000"/>
                <w:kern w:val="0"/>
                <w:szCs w:val="21"/>
              </w:rPr>
              <w:t>/</w:t>
            </w:r>
          </w:p>
        </w:tc>
        <w:tc>
          <w:tcPr>
            <w:tcW w:w="1580" w:type="pct"/>
            <w:vAlign w:val="center"/>
          </w:tcPr>
          <w:p w14:paraId="3D187440">
            <w:pPr>
              <w:widowControl/>
              <w:jc w:val="center"/>
              <w:rPr>
                <w:rFonts w:ascii="宋体" w:hAnsi="宋体" w:cs="宋体"/>
                <w:color w:val="000000"/>
                <w:kern w:val="0"/>
                <w:szCs w:val="21"/>
              </w:rPr>
            </w:pPr>
            <w:r>
              <w:rPr>
                <w:rFonts w:ascii="宋体" w:hAnsi="宋体" w:cs="宋体"/>
                <w:color w:val="000000"/>
                <w:kern w:val="0"/>
                <w:szCs w:val="21"/>
              </w:rPr>
              <w:t>A0170</w:t>
            </w:r>
            <w:r>
              <w:rPr>
                <w:rFonts w:hint="eastAsia" w:ascii="宋体" w:hAnsi="宋体" w:cs="宋体"/>
                <w:color w:val="000000"/>
                <w:kern w:val="0"/>
                <w:szCs w:val="21"/>
              </w:rPr>
              <w:t>中药材种植</w:t>
            </w:r>
          </w:p>
        </w:tc>
        <w:tc>
          <w:tcPr>
            <w:tcW w:w="447" w:type="pct"/>
            <w:vAlign w:val="center"/>
          </w:tcPr>
          <w:p w14:paraId="401B8213">
            <w:pPr>
              <w:widowControl/>
              <w:jc w:val="center"/>
              <w:rPr>
                <w:rFonts w:ascii="宋体" w:hAnsi="宋体" w:cs="宋体"/>
                <w:color w:val="000000"/>
                <w:kern w:val="0"/>
                <w:szCs w:val="21"/>
              </w:rPr>
            </w:pPr>
            <w:r>
              <w:rPr>
                <w:rFonts w:hint="eastAsia" w:ascii="宋体" w:hAnsi="宋体" w:cs="宋体"/>
                <w:color w:val="000000"/>
                <w:kern w:val="0"/>
                <w:szCs w:val="21"/>
              </w:rPr>
              <w:t>新增</w:t>
            </w:r>
          </w:p>
        </w:tc>
      </w:tr>
      <w:tr w14:paraId="540D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noWrap/>
            <w:vAlign w:val="center"/>
          </w:tcPr>
          <w:p w14:paraId="42C100E1">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602" w:type="pct"/>
          </w:tcPr>
          <w:p w14:paraId="09C9D07C">
            <w:pPr>
              <w:jc w:val="center"/>
            </w:pPr>
            <w:r>
              <w:rPr>
                <w:rFonts w:hint="eastAsia" w:ascii="宋体" w:hAnsi="宋体" w:cs="宋体"/>
                <w:color w:val="000000"/>
                <w:kern w:val="0"/>
                <w:szCs w:val="21"/>
              </w:rPr>
              <w:t>/</w:t>
            </w:r>
          </w:p>
        </w:tc>
        <w:tc>
          <w:tcPr>
            <w:tcW w:w="1163" w:type="pct"/>
            <w:vAlign w:val="center"/>
          </w:tcPr>
          <w:p w14:paraId="4ACCC3FB">
            <w:pPr>
              <w:widowControl/>
              <w:jc w:val="center"/>
              <w:rPr>
                <w:rFonts w:ascii="宋体" w:hAnsi="宋体" w:cs="宋体"/>
                <w:color w:val="000000"/>
                <w:kern w:val="0"/>
                <w:szCs w:val="21"/>
              </w:rPr>
            </w:pPr>
            <w:r>
              <w:rPr>
                <w:rFonts w:hint="eastAsia" w:ascii="宋体" w:hAnsi="宋体" w:cs="宋体"/>
                <w:color w:val="000000"/>
                <w:kern w:val="0"/>
                <w:szCs w:val="21"/>
              </w:rPr>
              <w:t>绿叶类蔬菜（设施）</w:t>
            </w:r>
          </w:p>
        </w:tc>
        <w:tc>
          <w:tcPr>
            <w:tcW w:w="832" w:type="pct"/>
          </w:tcPr>
          <w:p w14:paraId="5C86B727">
            <w:pPr>
              <w:jc w:val="center"/>
            </w:pPr>
            <w:r>
              <w:rPr>
                <w:rFonts w:hint="eastAsia" w:ascii="宋体" w:hAnsi="宋体" w:cs="宋体"/>
                <w:color w:val="000000"/>
                <w:kern w:val="0"/>
                <w:szCs w:val="21"/>
              </w:rPr>
              <w:t>/</w:t>
            </w:r>
          </w:p>
        </w:tc>
        <w:tc>
          <w:tcPr>
            <w:tcW w:w="1580" w:type="pct"/>
            <w:vAlign w:val="center"/>
          </w:tcPr>
          <w:p w14:paraId="051E47D5">
            <w:pPr>
              <w:widowControl/>
              <w:jc w:val="center"/>
              <w:rPr>
                <w:rFonts w:ascii="宋体" w:hAnsi="宋体" w:cs="宋体"/>
                <w:color w:val="000000"/>
                <w:kern w:val="0"/>
                <w:szCs w:val="21"/>
              </w:rPr>
            </w:pPr>
            <w:r>
              <w:rPr>
                <w:rFonts w:ascii="宋体" w:hAnsi="宋体" w:cs="宋体"/>
                <w:color w:val="000000"/>
                <w:kern w:val="0"/>
                <w:szCs w:val="21"/>
              </w:rPr>
              <w:t>A0190</w:t>
            </w:r>
            <w:r>
              <w:rPr>
                <w:rFonts w:hint="eastAsia" w:ascii="宋体" w:hAnsi="宋体" w:cs="宋体"/>
                <w:color w:val="000000"/>
                <w:kern w:val="0"/>
                <w:szCs w:val="21"/>
              </w:rPr>
              <w:t>其他农业种植</w:t>
            </w:r>
          </w:p>
        </w:tc>
        <w:tc>
          <w:tcPr>
            <w:tcW w:w="447" w:type="pct"/>
            <w:vAlign w:val="center"/>
          </w:tcPr>
          <w:p w14:paraId="737B3963">
            <w:pPr>
              <w:widowControl/>
              <w:jc w:val="center"/>
              <w:rPr>
                <w:rFonts w:ascii="宋体" w:hAnsi="宋体" w:cs="宋体"/>
                <w:color w:val="000000"/>
                <w:kern w:val="0"/>
                <w:szCs w:val="21"/>
              </w:rPr>
            </w:pPr>
            <w:r>
              <w:rPr>
                <w:rFonts w:hint="eastAsia" w:ascii="宋体" w:hAnsi="宋体" w:cs="宋体"/>
                <w:color w:val="000000"/>
                <w:kern w:val="0"/>
                <w:szCs w:val="21"/>
              </w:rPr>
              <w:t>新增</w:t>
            </w:r>
          </w:p>
        </w:tc>
      </w:tr>
      <w:tr w14:paraId="6F7D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noWrap/>
            <w:vAlign w:val="center"/>
          </w:tcPr>
          <w:p w14:paraId="050ADA57">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602" w:type="pct"/>
          </w:tcPr>
          <w:p w14:paraId="1D498B45">
            <w:pPr>
              <w:jc w:val="center"/>
            </w:pPr>
            <w:r>
              <w:rPr>
                <w:rFonts w:hint="eastAsia" w:ascii="宋体" w:hAnsi="宋体" w:cs="宋体"/>
                <w:color w:val="000000"/>
                <w:kern w:val="0"/>
                <w:szCs w:val="21"/>
              </w:rPr>
              <w:t>/</w:t>
            </w:r>
          </w:p>
        </w:tc>
        <w:tc>
          <w:tcPr>
            <w:tcW w:w="1163" w:type="pct"/>
            <w:vAlign w:val="center"/>
          </w:tcPr>
          <w:p w14:paraId="549C40A3">
            <w:pPr>
              <w:widowControl/>
              <w:jc w:val="center"/>
              <w:rPr>
                <w:rFonts w:ascii="宋体" w:hAnsi="宋体" w:cs="宋体"/>
                <w:color w:val="FF0000"/>
                <w:kern w:val="0"/>
                <w:szCs w:val="21"/>
              </w:rPr>
            </w:pPr>
            <w:r>
              <w:rPr>
                <w:rFonts w:hint="eastAsia" w:ascii="宋体" w:hAnsi="宋体" w:cs="宋体"/>
                <w:color w:val="000000"/>
                <w:kern w:val="0"/>
                <w:szCs w:val="21"/>
              </w:rPr>
              <w:t>豆类蔬菜（设施）</w:t>
            </w:r>
          </w:p>
        </w:tc>
        <w:tc>
          <w:tcPr>
            <w:tcW w:w="832" w:type="pct"/>
          </w:tcPr>
          <w:p w14:paraId="3EEDD20A">
            <w:pPr>
              <w:jc w:val="center"/>
              <w:rPr>
                <w:color w:val="FF0000"/>
              </w:rPr>
            </w:pPr>
            <w:r>
              <w:rPr>
                <w:rFonts w:hint="eastAsia" w:ascii="宋体" w:hAnsi="宋体" w:cs="宋体"/>
                <w:color w:val="000000"/>
                <w:kern w:val="0"/>
                <w:szCs w:val="21"/>
              </w:rPr>
              <w:t>/</w:t>
            </w:r>
          </w:p>
        </w:tc>
        <w:tc>
          <w:tcPr>
            <w:tcW w:w="1580" w:type="pct"/>
          </w:tcPr>
          <w:p w14:paraId="0A4B5E7C">
            <w:pPr>
              <w:jc w:val="center"/>
              <w:rPr>
                <w:color w:val="FF0000"/>
              </w:rPr>
            </w:pPr>
            <w:r>
              <w:rPr>
                <w:rFonts w:ascii="宋体" w:hAnsi="宋体" w:cs="宋体"/>
                <w:color w:val="000000"/>
                <w:kern w:val="0"/>
                <w:szCs w:val="21"/>
              </w:rPr>
              <w:t>A0190</w:t>
            </w:r>
            <w:r>
              <w:rPr>
                <w:rFonts w:hint="eastAsia" w:ascii="宋体" w:hAnsi="宋体" w:cs="宋体"/>
                <w:color w:val="000000"/>
                <w:kern w:val="0"/>
                <w:szCs w:val="21"/>
              </w:rPr>
              <w:t>其他农业种植</w:t>
            </w:r>
          </w:p>
        </w:tc>
        <w:tc>
          <w:tcPr>
            <w:tcW w:w="447" w:type="pct"/>
            <w:vAlign w:val="center"/>
          </w:tcPr>
          <w:p w14:paraId="38A405E9">
            <w:pPr>
              <w:widowControl/>
              <w:jc w:val="center"/>
              <w:rPr>
                <w:rFonts w:ascii="宋体" w:hAnsi="宋体" w:cs="宋体"/>
                <w:color w:val="FF0000"/>
                <w:kern w:val="0"/>
                <w:szCs w:val="21"/>
              </w:rPr>
            </w:pPr>
            <w:r>
              <w:rPr>
                <w:rFonts w:hint="eastAsia" w:ascii="宋体" w:hAnsi="宋体" w:cs="宋体"/>
                <w:color w:val="000000"/>
                <w:kern w:val="0"/>
                <w:szCs w:val="21"/>
              </w:rPr>
              <w:t>新增</w:t>
            </w:r>
          </w:p>
        </w:tc>
      </w:tr>
      <w:tr w14:paraId="6063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noWrap/>
            <w:vAlign w:val="center"/>
          </w:tcPr>
          <w:p w14:paraId="20EE4A08">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602" w:type="pct"/>
          </w:tcPr>
          <w:p w14:paraId="5A720419">
            <w:pPr>
              <w:jc w:val="center"/>
            </w:pPr>
            <w:r>
              <w:rPr>
                <w:rFonts w:hint="eastAsia" w:ascii="宋体" w:hAnsi="宋体" w:cs="宋体"/>
                <w:color w:val="000000"/>
                <w:kern w:val="0"/>
                <w:szCs w:val="21"/>
              </w:rPr>
              <w:t>/</w:t>
            </w:r>
          </w:p>
        </w:tc>
        <w:tc>
          <w:tcPr>
            <w:tcW w:w="1163" w:type="pct"/>
            <w:vAlign w:val="center"/>
          </w:tcPr>
          <w:p w14:paraId="645E2DF2">
            <w:pPr>
              <w:widowControl/>
              <w:jc w:val="center"/>
              <w:rPr>
                <w:rFonts w:ascii="宋体" w:hAnsi="宋体" w:cs="宋体"/>
                <w:color w:val="000000"/>
                <w:kern w:val="0"/>
                <w:szCs w:val="21"/>
              </w:rPr>
            </w:pPr>
            <w:r>
              <w:rPr>
                <w:rFonts w:hint="eastAsia" w:ascii="宋体" w:hAnsi="宋体" w:cs="宋体"/>
                <w:color w:val="000000"/>
                <w:kern w:val="0"/>
                <w:szCs w:val="21"/>
              </w:rPr>
              <w:t>瓜类蔬菜（设施）</w:t>
            </w:r>
          </w:p>
        </w:tc>
        <w:tc>
          <w:tcPr>
            <w:tcW w:w="832" w:type="pct"/>
          </w:tcPr>
          <w:p w14:paraId="713227B1">
            <w:pPr>
              <w:jc w:val="center"/>
            </w:pPr>
            <w:r>
              <w:rPr>
                <w:rFonts w:hint="eastAsia" w:ascii="宋体" w:hAnsi="宋体" w:cs="宋体"/>
                <w:color w:val="000000"/>
                <w:kern w:val="0"/>
                <w:szCs w:val="21"/>
              </w:rPr>
              <w:t>/</w:t>
            </w:r>
          </w:p>
        </w:tc>
        <w:tc>
          <w:tcPr>
            <w:tcW w:w="1580" w:type="pct"/>
          </w:tcPr>
          <w:p w14:paraId="07E1B890">
            <w:pPr>
              <w:jc w:val="center"/>
            </w:pPr>
            <w:r>
              <w:rPr>
                <w:rFonts w:ascii="宋体" w:hAnsi="宋体" w:cs="宋体"/>
                <w:color w:val="000000"/>
                <w:kern w:val="0"/>
                <w:szCs w:val="21"/>
              </w:rPr>
              <w:t>A0190</w:t>
            </w:r>
            <w:r>
              <w:rPr>
                <w:rFonts w:hint="eastAsia" w:ascii="宋体" w:hAnsi="宋体" w:cs="宋体"/>
                <w:color w:val="000000"/>
                <w:kern w:val="0"/>
                <w:szCs w:val="21"/>
              </w:rPr>
              <w:t>其他农业种植</w:t>
            </w:r>
          </w:p>
        </w:tc>
        <w:tc>
          <w:tcPr>
            <w:tcW w:w="447" w:type="pct"/>
            <w:vAlign w:val="center"/>
          </w:tcPr>
          <w:p w14:paraId="7B743A62">
            <w:pPr>
              <w:widowControl/>
              <w:jc w:val="center"/>
              <w:rPr>
                <w:rFonts w:ascii="宋体" w:hAnsi="宋体" w:cs="宋体"/>
                <w:color w:val="000000"/>
                <w:kern w:val="0"/>
                <w:szCs w:val="21"/>
              </w:rPr>
            </w:pPr>
            <w:r>
              <w:rPr>
                <w:rFonts w:hint="eastAsia" w:ascii="宋体" w:hAnsi="宋体" w:cs="宋体"/>
                <w:color w:val="000000"/>
                <w:kern w:val="0"/>
                <w:szCs w:val="21"/>
              </w:rPr>
              <w:t>新增</w:t>
            </w:r>
          </w:p>
        </w:tc>
      </w:tr>
      <w:tr w14:paraId="75EC6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noWrap/>
            <w:vAlign w:val="center"/>
          </w:tcPr>
          <w:p w14:paraId="6F45CD6D">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602" w:type="pct"/>
          </w:tcPr>
          <w:p w14:paraId="0CDAE5BA">
            <w:pPr>
              <w:jc w:val="center"/>
            </w:pPr>
            <w:r>
              <w:rPr>
                <w:rFonts w:hint="eastAsia" w:ascii="宋体" w:hAnsi="宋体" w:cs="宋体"/>
                <w:color w:val="000000"/>
                <w:kern w:val="0"/>
                <w:szCs w:val="21"/>
              </w:rPr>
              <w:t>/</w:t>
            </w:r>
          </w:p>
        </w:tc>
        <w:tc>
          <w:tcPr>
            <w:tcW w:w="1163" w:type="pct"/>
            <w:vAlign w:val="center"/>
          </w:tcPr>
          <w:p w14:paraId="5EEABF2A">
            <w:pPr>
              <w:widowControl/>
              <w:jc w:val="center"/>
              <w:rPr>
                <w:rFonts w:ascii="宋体" w:hAnsi="宋体" w:cs="宋体"/>
                <w:color w:val="000000"/>
                <w:kern w:val="0"/>
                <w:szCs w:val="21"/>
              </w:rPr>
            </w:pPr>
            <w:r>
              <w:rPr>
                <w:rFonts w:hint="eastAsia" w:ascii="宋体" w:hAnsi="宋体" w:cs="宋体"/>
                <w:color w:val="000000"/>
                <w:kern w:val="0"/>
                <w:szCs w:val="21"/>
              </w:rPr>
              <w:t>茄果类蔬菜（设施）</w:t>
            </w:r>
          </w:p>
        </w:tc>
        <w:tc>
          <w:tcPr>
            <w:tcW w:w="832" w:type="pct"/>
          </w:tcPr>
          <w:p w14:paraId="49ABF850">
            <w:pPr>
              <w:jc w:val="center"/>
            </w:pPr>
            <w:r>
              <w:rPr>
                <w:rFonts w:hint="eastAsia" w:ascii="宋体" w:hAnsi="宋体" w:cs="宋体"/>
                <w:color w:val="000000"/>
                <w:kern w:val="0"/>
                <w:szCs w:val="21"/>
              </w:rPr>
              <w:t>/</w:t>
            </w:r>
          </w:p>
        </w:tc>
        <w:tc>
          <w:tcPr>
            <w:tcW w:w="1580" w:type="pct"/>
          </w:tcPr>
          <w:p w14:paraId="1D8FDF8A">
            <w:pPr>
              <w:jc w:val="center"/>
            </w:pPr>
            <w:r>
              <w:rPr>
                <w:rFonts w:ascii="宋体" w:hAnsi="宋体" w:cs="宋体"/>
                <w:color w:val="000000"/>
                <w:kern w:val="0"/>
                <w:szCs w:val="21"/>
              </w:rPr>
              <w:t>A0190</w:t>
            </w:r>
            <w:r>
              <w:rPr>
                <w:rFonts w:hint="eastAsia" w:ascii="宋体" w:hAnsi="宋体" w:cs="宋体"/>
                <w:color w:val="000000"/>
                <w:kern w:val="0"/>
                <w:szCs w:val="21"/>
              </w:rPr>
              <w:t>其他农业种植</w:t>
            </w:r>
          </w:p>
        </w:tc>
        <w:tc>
          <w:tcPr>
            <w:tcW w:w="447" w:type="pct"/>
          </w:tcPr>
          <w:p w14:paraId="027618C5">
            <w:pPr>
              <w:widowControl/>
              <w:jc w:val="center"/>
              <w:rPr>
                <w:rFonts w:ascii="宋体" w:hAnsi="宋体" w:cs="宋体"/>
                <w:color w:val="000000"/>
                <w:kern w:val="0"/>
                <w:szCs w:val="21"/>
              </w:rPr>
            </w:pPr>
            <w:r>
              <w:rPr>
                <w:rFonts w:hint="eastAsia" w:ascii="宋体" w:hAnsi="宋体" w:cs="宋体"/>
                <w:color w:val="000000"/>
                <w:kern w:val="0"/>
                <w:szCs w:val="21"/>
              </w:rPr>
              <w:t>新增</w:t>
            </w:r>
          </w:p>
        </w:tc>
      </w:tr>
      <w:tr w14:paraId="6A08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noWrap/>
            <w:vAlign w:val="center"/>
          </w:tcPr>
          <w:p w14:paraId="5BD1E805">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602" w:type="pct"/>
          </w:tcPr>
          <w:p w14:paraId="10D1ACC2">
            <w:pPr>
              <w:jc w:val="center"/>
            </w:pPr>
            <w:r>
              <w:rPr>
                <w:rFonts w:hint="eastAsia" w:ascii="宋体" w:hAnsi="宋体" w:cs="宋体"/>
                <w:color w:val="000000"/>
                <w:kern w:val="0"/>
                <w:szCs w:val="21"/>
              </w:rPr>
              <w:t>/</w:t>
            </w:r>
          </w:p>
        </w:tc>
        <w:tc>
          <w:tcPr>
            <w:tcW w:w="1163" w:type="pct"/>
            <w:vAlign w:val="center"/>
          </w:tcPr>
          <w:p w14:paraId="38A45AE5">
            <w:pPr>
              <w:widowControl/>
              <w:jc w:val="center"/>
              <w:rPr>
                <w:rFonts w:ascii="宋体" w:hAnsi="宋体" w:cs="宋体"/>
                <w:color w:val="000000"/>
                <w:kern w:val="0"/>
                <w:szCs w:val="21"/>
              </w:rPr>
            </w:pPr>
            <w:r>
              <w:rPr>
                <w:rFonts w:hint="eastAsia" w:ascii="宋体" w:hAnsi="宋体" w:cs="宋体"/>
                <w:color w:val="000000"/>
                <w:kern w:val="0"/>
                <w:szCs w:val="21"/>
              </w:rPr>
              <w:t>葡萄（设施）</w:t>
            </w:r>
          </w:p>
        </w:tc>
        <w:tc>
          <w:tcPr>
            <w:tcW w:w="832" w:type="pct"/>
          </w:tcPr>
          <w:p w14:paraId="3194B0E9">
            <w:pPr>
              <w:jc w:val="center"/>
            </w:pPr>
            <w:r>
              <w:rPr>
                <w:rFonts w:hint="eastAsia" w:ascii="宋体" w:hAnsi="宋体" w:cs="宋体"/>
                <w:color w:val="000000"/>
                <w:kern w:val="0"/>
                <w:szCs w:val="21"/>
              </w:rPr>
              <w:t>/</w:t>
            </w:r>
          </w:p>
        </w:tc>
        <w:tc>
          <w:tcPr>
            <w:tcW w:w="1580" w:type="pct"/>
          </w:tcPr>
          <w:p w14:paraId="3A72C42D">
            <w:pPr>
              <w:jc w:val="center"/>
            </w:pPr>
            <w:r>
              <w:rPr>
                <w:rFonts w:ascii="宋体" w:hAnsi="宋体" w:cs="宋体"/>
                <w:color w:val="000000"/>
                <w:kern w:val="0"/>
                <w:szCs w:val="21"/>
              </w:rPr>
              <w:t>A0190</w:t>
            </w:r>
            <w:r>
              <w:rPr>
                <w:rFonts w:hint="eastAsia" w:ascii="宋体" w:hAnsi="宋体" w:cs="宋体"/>
                <w:color w:val="000000"/>
                <w:kern w:val="0"/>
                <w:szCs w:val="21"/>
              </w:rPr>
              <w:t>其他农业种植</w:t>
            </w:r>
          </w:p>
        </w:tc>
        <w:tc>
          <w:tcPr>
            <w:tcW w:w="447" w:type="pct"/>
          </w:tcPr>
          <w:p w14:paraId="47EA91E1">
            <w:pPr>
              <w:widowControl/>
              <w:jc w:val="center"/>
              <w:rPr>
                <w:rFonts w:ascii="宋体" w:hAnsi="宋体" w:cs="宋体"/>
                <w:color w:val="000000"/>
                <w:kern w:val="0"/>
                <w:szCs w:val="21"/>
              </w:rPr>
            </w:pPr>
            <w:r>
              <w:rPr>
                <w:rFonts w:hint="eastAsia" w:ascii="宋体" w:hAnsi="宋体" w:cs="宋体"/>
                <w:color w:val="000000"/>
                <w:kern w:val="0"/>
                <w:szCs w:val="21"/>
              </w:rPr>
              <w:t>新增</w:t>
            </w:r>
          </w:p>
        </w:tc>
      </w:tr>
      <w:tr w14:paraId="3DBD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noWrap/>
            <w:vAlign w:val="center"/>
          </w:tcPr>
          <w:p w14:paraId="3AAF8B78">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602" w:type="pct"/>
          </w:tcPr>
          <w:p w14:paraId="476BFAAE">
            <w:pPr>
              <w:jc w:val="center"/>
            </w:pPr>
            <w:r>
              <w:rPr>
                <w:rFonts w:hint="eastAsia" w:ascii="宋体" w:hAnsi="宋体" w:cs="宋体"/>
                <w:color w:val="000000"/>
                <w:kern w:val="0"/>
                <w:szCs w:val="21"/>
              </w:rPr>
              <w:t>/</w:t>
            </w:r>
          </w:p>
        </w:tc>
        <w:tc>
          <w:tcPr>
            <w:tcW w:w="1163" w:type="pct"/>
            <w:vAlign w:val="center"/>
          </w:tcPr>
          <w:p w14:paraId="571C10D2">
            <w:pPr>
              <w:widowControl/>
              <w:jc w:val="center"/>
              <w:rPr>
                <w:rFonts w:ascii="宋体" w:hAnsi="宋体" w:cs="宋体"/>
                <w:color w:val="000000"/>
                <w:kern w:val="0"/>
                <w:szCs w:val="21"/>
              </w:rPr>
            </w:pPr>
            <w:r>
              <w:rPr>
                <w:rFonts w:hint="eastAsia" w:ascii="宋体" w:hAnsi="宋体" w:cs="宋体"/>
                <w:color w:val="000000"/>
                <w:kern w:val="0"/>
                <w:szCs w:val="21"/>
              </w:rPr>
              <w:t>蓝莓（设施）</w:t>
            </w:r>
          </w:p>
        </w:tc>
        <w:tc>
          <w:tcPr>
            <w:tcW w:w="832" w:type="pct"/>
          </w:tcPr>
          <w:p w14:paraId="49DE7EB9">
            <w:pPr>
              <w:jc w:val="center"/>
            </w:pPr>
            <w:r>
              <w:rPr>
                <w:rFonts w:hint="eastAsia" w:ascii="宋体" w:hAnsi="宋体" w:cs="宋体"/>
                <w:color w:val="000000"/>
                <w:kern w:val="0"/>
                <w:szCs w:val="21"/>
              </w:rPr>
              <w:t>/</w:t>
            </w:r>
          </w:p>
        </w:tc>
        <w:tc>
          <w:tcPr>
            <w:tcW w:w="1580" w:type="pct"/>
          </w:tcPr>
          <w:p w14:paraId="0D398152">
            <w:pPr>
              <w:jc w:val="center"/>
            </w:pPr>
            <w:r>
              <w:rPr>
                <w:rFonts w:ascii="宋体" w:hAnsi="宋体" w:cs="宋体"/>
                <w:color w:val="000000"/>
                <w:kern w:val="0"/>
                <w:szCs w:val="21"/>
              </w:rPr>
              <w:t>A0190</w:t>
            </w:r>
            <w:r>
              <w:rPr>
                <w:rFonts w:hint="eastAsia" w:ascii="宋体" w:hAnsi="宋体" w:cs="宋体"/>
                <w:color w:val="000000"/>
                <w:kern w:val="0"/>
                <w:szCs w:val="21"/>
              </w:rPr>
              <w:t>其他农业种植</w:t>
            </w:r>
          </w:p>
        </w:tc>
        <w:tc>
          <w:tcPr>
            <w:tcW w:w="447" w:type="pct"/>
          </w:tcPr>
          <w:p w14:paraId="399BB24F">
            <w:pPr>
              <w:jc w:val="center"/>
            </w:pPr>
            <w:r>
              <w:rPr>
                <w:rFonts w:hint="eastAsia" w:ascii="宋体" w:hAnsi="宋体" w:cs="宋体"/>
                <w:color w:val="000000"/>
                <w:kern w:val="0"/>
                <w:szCs w:val="21"/>
              </w:rPr>
              <w:t>新增</w:t>
            </w:r>
          </w:p>
        </w:tc>
      </w:tr>
      <w:tr w14:paraId="7D0B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noWrap/>
            <w:vAlign w:val="center"/>
          </w:tcPr>
          <w:p w14:paraId="5BF98870">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602" w:type="pct"/>
          </w:tcPr>
          <w:p w14:paraId="5748A3EF">
            <w:pPr>
              <w:jc w:val="center"/>
            </w:pPr>
            <w:r>
              <w:rPr>
                <w:rFonts w:hint="eastAsia" w:ascii="宋体" w:hAnsi="宋体" w:cs="宋体"/>
                <w:color w:val="000000"/>
                <w:kern w:val="0"/>
                <w:szCs w:val="21"/>
              </w:rPr>
              <w:t>/</w:t>
            </w:r>
          </w:p>
        </w:tc>
        <w:tc>
          <w:tcPr>
            <w:tcW w:w="1163" w:type="pct"/>
            <w:vAlign w:val="center"/>
          </w:tcPr>
          <w:p w14:paraId="32FE8DDC">
            <w:pPr>
              <w:widowControl/>
              <w:jc w:val="center"/>
              <w:rPr>
                <w:rFonts w:ascii="宋体" w:hAnsi="宋体" w:cs="宋体"/>
                <w:color w:val="000000"/>
                <w:kern w:val="0"/>
                <w:szCs w:val="21"/>
              </w:rPr>
            </w:pPr>
            <w:r>
              <w:rPr>
                <w:rFonts w:hint="eastAsia" w:ascii="宋体" w:hAnsi="宋体" w:cs="宋体"/>
                <w:color w:val="000000"/>
                <w:kern w:val="0"/>
                <w:szCs w:val="21"/>
              </w:rPr>
              <w:t>草莓（设施）</w:t>
            </w:r>
          </w:p>
        </w:tc>
        <w:tc>
          <w:tcPr>
            <w:tcW w:w="832" w:type="pct"/>
          </w:tcPr>
          <w:p w14:paraId="6E7D60CE">
            <w:pPr>
              <w:jc w:val="center"/>
            </w:pPr>
            <w:r>
              <w:rPr>
                <w:rFonts w:hint="eastAsia" w:ascii="宋体" w:hAnsi="宋体" w:cs="宋体"/>
                <w:color w:val="000000"/>
                <w:kern w:val="0"/>
                <w:szCs w:val="21"/>
              </w:rPr>
              <w:t>/</w:t>
            </w:r>
          </w:p>
        </w:tc>
        <w:tc>
          <w:tcPr>
            <w:tcW w:w="1580" w:type="pct"/>
          </w:tcPr>
          <w:p w14:paraId="703E3937">
            <w:pPr>
              <w:jc w:val="center"/>
            </w:pPr>
            <w:r>
              <w:rPr>
                <w:rFonts w:ascii="宋体" w:hAnsi="宋体" w:cs="宋体"/>
                <w:color w:val="000000"/>
                <w:kern w:val="0"/>
                <w:szCs w:val="21"/>
              </w:rPr>
              <w:t>A0190</w:t>
            </w:r>
            <w:r>
              <w:rPr>
                <w:rFonts w:hint="eastAsia" w:ascii="宋体" w:hAnsi="宋体" w:cs="宋体"/>
                <w:color w:val="000000"/>
                <w:kern w:val="0"/>
                <w:szCs w:val="21"/>
              </w:rPr>
              <w:t>其他农业种植</w:t>
            </w:r>
          </w:p>
        </w:tc>
        <w:tc>
          <w:tcPr>
            <w:tcW w:w="447" w:type="pct"/>
          </w:tcPr>
          <w:p w14:paraId="50634CDF">
            <w:pPr>
              <w:jc w:val="center"/>
            </w:pPr>
            <w:r>
              <w:rPr>
                <w:rFonts w:hint="eastAsia" w:ascii="宋体" w:hAnsi="宋体" w:cs="宋体"/>
                <w:color w:val="000000"/>
                <w:kern w:val="0"/>
                <w:szCs w:val="21"/>
              </w:rPr>
              <w:t>新增</w:t>
            </w:r>
          </w:p>
        </w:tc>
      </w:tr>
      <w:tr w14:paraId="72C70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noWrap/>
            <w:vAlign w:val="center"/>
          </w:tcPr>
          <w:p w14:paraId="5C6F644C">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602" w:type="pct"/>
          </w:tcPr>
          <w:p w14:paraId="09A33392">
            <w:pPr>
              <w:jc w:val="center"/>
            </w:pPr>
            <w:r>
              <w:rPr>
                <w:rFonts w:hint="eastAsia" w:ascii="宋体" w:hAnsi="宋体" w:cs="宋体"/>
                <w:color w:val="000000"/>
                <w:kern w:val="0"/>
                <w:szCs w:val="21"/>
              </w:rPr>
              <w:t>/</w:t>
            </w:r>
          </w:p>
        </w:tc>
        <w:tc>
          <w:tcPr>
            <w:tcW w:w="1163" w:type="pct"/>
            <w:vAlign w:val="center"/>
          </w:tcPr>
          <w:p w14:paraId="3A016E8D">
            <w:pPr>
              <w:widowControl/>
              <w:jc w:val="center"/>
              <w:rPr>
                <w:rFonts w:ascii="宋体" w:hAnsi="宋体" w:cs="宋体"/>
                <w:color w:val="000000"/>
                <w:kern w:val="0"/>
                <w:szCs w:val="21"/>
              </w:rPr>
            </w:pPr>
            <w:r>
              <w:rPr>
                <w:rFonts w:hint="eastAsia" w:ascii="宋体" w:hAnsi="宋体" w:cs="宋体"/>
                <w:color w:val="000000"/>
                <w:kern w:val="0"/>
                <w:szCs w:val="21"/>
              </w:rPr>
              <w:t>西瓜（设施）</w:t>
            </w:r>
          </w:p>
        </w:tc>
        <w:tc>
          <w:tcPr>
            <w:tcW w:w="832" w:type="pct"/>
          </w:tcPr>
          <w:p w14:paraId="4F208C3F">
            <w:pPr>
              <w:jc w:val="center"/>
            </w:pPr>
            <w:r>
              <w:rPr>
                <w:rFonts w:hint="eastAsia" w:ascii="宋体" w:hAnsi="宋体" w:cs="宋体"/>
                <w:color w:val="000000"/>
                <w:kern w:val="0"/>
                <w:szCs w:val="21"/>
              </w:rPr>
              <w:t>/</w:t>
            </w:r>
          </w:p>
        </w:tc>
        <w:tc>
          <w:tcPr>
            <w:tcW w:w="1580" w:type="pct"/>
          </w:tcPr>
          <w:p w14:paraId="2B9099A6">
            <w:pPr>
              <w:jc w:val="center"/>
            </w:pPr>
            <w:r>
              <w:rPr>
                <w:rFonts w:ascii="宋体" w:hAnsi="宋体" w:cs="宋体"/>
                <w:color w:val="000000"/>
                <w:kern w:val="0"/>
                <w:szCs w:val="21"/>
              </w:rPr>
              <w:t>A0190</w:t>
            </w:r>
            <w:r>
              <w:rPr>
                <w:rFonts w:hint="eastAsia" w:ascii="宋体" w:hAnsi="宋体" w:cs="宋体"/>
                <w:color w:val="000000"/>
                <w:kern w:val="0"/>
                <w:szCs w:val="21"/>
              </w:rPr>
              <w:t>其他农业种植</w:t>
            </w:r>
          </w:p>
        </w:tc>
        <w:tc>
          <w:tcPr>
            <w:tcW w:w="447" w:type="pct"/>
          </w:tcPr>
          <w:p w14:paraId="468E8B4F">
            <w:pPr>
              <w:jc w:val="center"/>
            </w:pPr>
            <w:r>
              <w:rPr>
                <w:rFonts w:hint="eastAsia" w:ascii="宋体" w:hAnsi="宋体" w:cs="宋体"/>
                <w:color w:val="000000"/>
                <w:kern w:val="0"/>
                <w:szCs w:val="21"/>
              </w:rPr>
              <w:t>新增</w:t>
            </w:r>
          </w:p>
        </w:tc>
      </w:tr>
      <w:tr w14:paraId="57F99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noWrap/>
            <w:vAlign w:val="center"/>
          </w:tcPr>
          <w:p w14:paraId="2BE2F289">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0</w:t>
            </w:r>
          </w:p>
        </w:tc>
        <w:tc>
          <w:tcPr>
            <w:tcW w:w="602" w:type="pct"/>
          </w:tcPr>
          <w:p w14:paraId="55EF46F7">
            <w:pPr>
              <w:jc w:val="center"/>
            </w:pPr>
            <w:r>
              <w:rPr>
                <w:rFonts w:hint="eastAsia" w:ascii="宋体" w:hAnsi="宋体" w:cs="宋体"/>
                <w:color w:val="000000"/>
                <w:kern w:val="0"/>
                <w:szCs w:val="21"/>
              </w:rPr>
              <w:t>/</w:t>
            </w:r>
          </w:p>
        </w:tc>
        <w:tc>
          <w:tcPr>
            <w:tcW w:w="1163" w:type="pct"/>
            <w:vAlign w:val="center"/>
          </w:tcPr>
          <w:p w14:paraId="686BEB3A">
            <w:pPr>
              <w:widowControl/>
              <w:jc w:val="center"/>
              <w:rPr>
                <w:rFonts w:ascii="宋体" w:hAnsi="宋体" w:cs="宋体"/>
                <w:color w:val="000000"/>
                <w:kern w:val="0"/>
                <w:szCs w:val="21"/>
              </w:rPr>
            </w:pPr>
            <w:r>
              <w:rPr>
                <w:rFonts w:hint="eastAsia" w:ascii="宋体" w:hAnsi="宋体" w:cs="宋体"/>
                <w:color w:val="000000"/>
                <w:kern w:val="0"/>
                <w:szCs w:val="21"/>
              </w:rPr>
              <w:t>花卉（设施）</w:t>
            </w:r>
          </w:p>
        </w:tc>
        <w:tc>
          <w:tcPr>
            <w:tcW w:w="832" w:type="pct"/>
          </w:tcPr>
          <w:p w14:paraId="04E27EEF">
            <w:pPr>
              <w:jc w:val="center"/>
            </w:pPr>
            <w:r>
              <w:rPr>
                <w:rFonts w:hint="eastAsia" w:ascii="宋体" w:hAnsi="宋体" w:cs="宋体"/>
                <w:color w:val="000000"/>
                <w:kern w:val="0"/>
                <w:szCs w:val="21"/>
              </w:rPr>
              <w:t>/</w:t>
            </w:r>
          </w:p>
        </w:tc>
        <w:tc>
          <w:tcPr>
            <w:tcW w:w="1580" w:type="pct"/>
          </w:tcPr>
          <w:p w14:paraId="05BCF5F3">
            <w:pPr>
              <w:jc w:val="center"/>
            </w:pPr>
            <w:r>
              <w:rPr>
                <w:rFonts w:ascii="宋体" w:hAnsi="宋体" w:cs="宋体"/>
                <w:color w:val="000000"/>
                <w:kern w:val="0"/>
                <w:szCs w:val="21"/>
              </w:rPr>
              <w:t>A0190</w:t>
            </w:r>
            <w:r>
              <w:rPr>
                <w:rFonts w:hint="eastAsia" w:ascii="宋体" w:hAnsi="宋体" w:cs="宋体"/>
                <w:color w:val="000000"/>
                <w:kern w:val="0"/>
                <w:szCs w:val="21"/>
              </w:rPr>
              <w:t>其他农业种植</w:t>
            </w:r>
          </w:p>
        </w:tc>
        <w:tc>
          <w:tcPr>
            <w:tcW w:w="447" w:type="pct"/>
          </w:tcPr>
          <w:p w14:paraId="787E67D9">
            <w:pPr>
              <w:jc w:val="center"/>
            </w:pPr>
            <w:r>
              <w:rPr>
                <w:rFonts w:hint="eastAsia" w:ascii="宋体" w:hAnsi="宋体" w:cs="宋体"/>
                <w:color w:val="000000"/>
                <w:kern w:val="0"/>
                <w:szCs w:val="21"/>
              </w:rPr>
              <w:t>新增</w:t>
            </w:r>
          </w:p>
        </w:tc>
      </w:tr>
      <w:tr w14:paraId="1A7CA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noWrap/>
            <w:vAlign w:val="center"/>
          </w:tcPr>
          <w:p w14:paraId="6C2E5BFD">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1</w:t>
            </w:r>
          </w:p>
        </w:tc>
        <w:tc>
          <w:tcPr>
            <w:tcW w:w="602" w:type="pct"/>
          </w:tcPr>
          <w:p w14:paraId="52837CD4">
            <w:pPr>
              <w:jc w:val="center"/>
            </w:pPr>
            <w:r>
              <w:rPr>
                <w:rFonts w:hint="eastAsia" w:ascii="宋体" w:hAnsi="宋体" w:cs="宋体"/>
                <w:color w:val="000000"/>
                <w:kern w:val="0"/>
                <w:szCs w:val="21"/>
              </w:rPr>
              <w:t>/</w:t>
            </w:r>
          </w:p>
        </w:tc>
        <w:tc>
          <w:tcPr>
            <w:tcW w:w="1163" w:type="pct"/>
            <w:vAlign w:val="center"/>
          </w:tcPr>
          <w:p w14:paraId="306FF0F2">
            <w:pPr>
              <w:widowControl/>
              <w:jc w:val="center"/>
              <w:rPr>
                <w:rFonts w:ascii="宋体" w:hAnsi="宋体" w:cs="宋体"/>
                <w:color w:val="000000"/>
                <w:kern w:val="0"/>
                <w:szCs w:val="21"/>
              </w:rPr>
            </w:pPr>
            <w:r>
              <w:rPr>
                <w:rFonts w:hint="eastAsia" w:ascii="宋体" w:hAnsi="宋体" w:cs="宋体"/>
                <w:color w:val="000000"/>
                <w:kern w:val="0"/>
                <w:szCs w:val="21"/>
              </w:rPr>
              <w:t>食用菌类（设施）</w:t>
            </w:r>
          </w:p>
        </w:tc>
        <w:tc>
          <w:tcPr>
            <w:tcW w:w="832" w:type="pct"/>
          </w:tcPr>
          <w:p w14:paraId="50428772">
            <w:pPr>
              <w:jc w:val="center"/>
            </w:pPr>
            <w:r>
              <w:rPr>
                <w:rFonts w:hint="eastAsia" w:ascii="宋体" w:hAnsi="宋体" w:cs="宋体"/>
                <w:color w:val="000000"/>
                <w:kern w:val="0"/>
                <w:szCs w:val="21"/>
              </w:rPr>
              <w:t>/</w:t>
            </w:r>
          </w:p>
        </w:tc>
        <w:tc>
          <w:tcPr>
            <w:tcW w:w="1580" w:type="pct"/>
          </w:tcPr>
          <w:p w14:paraId="55F7EDD8">
            <w:pPr>
              <w:jc w:val="center"/>
            </w:pPr>
            <w:r>
              <w:rPr>
                <w:rFonts w:ascii="宋体" w:hAnsi="宋体" w:cs="宋体"/>
                <w:color w:val="000000"/>
                <w:kern w:val="0"/>
                <w:szCs w:val="21"/>
              </w:rPr>
              <w:t>A0190</w:t>
            </w:r>
            <w:r>
              <w:rPr>
                <w:rFonts w:hint="eastAsia" w:ascii="宋体" w:hAnsi="宋体" w:cs="宋体"/>
                <w:color w:val="000000"/>
                <w:kern w:val="0"/>
                <w:szCs w:val="21"/>
              </w:rPr>
              <w:t>其他农业种植</w:t>
            </w:r>
          </w:p>
        </w:tc>
        <w:tc>
          <w:tcPr>
            <w:tcW w:w="447" w:type="pct"/>
          </w:tcPr>
          <w:p w14:paraId="4065E63D">
            <w:pPr>
              <w:jc w:val="center"/>
            </w:pPr>
            <w:r>
              <w:rPr>
                <w:rFonts w:hint="eastAsia" w:ascii="宋体" w:hAnsi="宋体" w:cs="宋体"/>
                <w:color w:val="000000"/>
                <w:kern w:val="0"/>
                <w:szCs w:val="21"/>
              </w:rPr>
              <w:t>新增</w:t>
            </w:r>
          </w:p>
        </w:tc>
      </w:tr>
      <w:tr w14:paraId="2F73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noWrap/>
            <w:vAlign w:val="center"/>
          </w:tcPr>
          <w:p w14:paraId="1D68D534">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2</w:t>
            </w:r>
          </w:p>
        </w:tc>
        <w:tc>
          <w:tcPr>
            <w:tcW w:w="602" w:type="pct"/>
          </w:tcPr>
          <w:p w14:paraId="5DC0682E">
            <w:pPr>
              <w:jc w:val="center"/>
            </w:pPr>
            <w:r>
              <w:rPr>
                <w:rFonts w:hint="eastAsia" w:ascii="宋体" w:hAnsi="宋体" w:cs="宋体"/>
                <w:color w:val="000000"/>
                <w:kern w:val="0"/>
                <w:szCs w:val="21"/>
              </w:rPr>
              <w:t>/</w:t>
            </w:r>
          </w:p>
        </w:tc>
        <w:tc>
          <w:tcPr>
            <w:tcW w:w="1163" w:type="pct"/>
            <w:vAlign w:val="center"/>
          </w:tcPr>
          <w:p w14:paraId="76443509">
            <w:pPr>
              <w:widowControl/>
              <w:jc w:val="center"/>
              <w:rPr>
                <w:rFonts w:ascii="宋体" w:hAnsi="宋体" w:cs="宋体"/>
                <w:color w:val="000000"/>
                <w:kern w:val="0"/>
                <w:szCs w:val="21"/>
              </w:rPr>
            </w:pPr>
            <w:r>
              <w:rPr>
                <w:rFonts w:hint="eastAsia" w:ascii="宋体" w:hAnsi="宋体" w:cs="宋体"/>
                <w:color w:val="000000"/>
                <w:kern w:val="0"/>
                <w:szCs w:val="21"/>
              </w:rPr>
              <w:t>犊牛</w:t>
            </w:r>
          </w:p>
        </w:tc>
        <w:tc>
          <w:tcPr>
            <w:tcW w:w="832" w:type="pct"/>
          </w:tcPr>
          <w:p w14:paraId="1F77FDE8">
            <w:pPr>
              <w:jc w:val="center"/>
            </w:pPr>
            <w:r>
              <w:rPr>
                <w:rFonts w:hint="eastAsia" w:ascii="宋体" w:hAnsi="宋体" w:cs="宋体"/>
                <w:color w:val="000000"/>
                <w:kern w:val="0"/>
                <w:szCs w:val="21"/>
              </w:rPr>
              <w:t>/</w:t>
            </w:r>
          </w:p>
        </w:tc>
        <w:tc>
          <w:tcPr>
            <w:tcW w:w="1580" w:type="pct"/>
          </w:tcPr>
          <w:p w14:paraId="0BDBE0F6">
            <w:pPr>
              <w:jc w:val="center"/>
            </w:pPr>
            <w:r>
              <w:rPr>
                <w:rFonts w:ascii="宋体" w:hAnsi="宋体" w:cs="宋体"/>
                <w:color w:val="000000"/>
                <w:kern w:val="0"/>
                <w:szCs w:val="21"/>
              </w:rPr>
              <w:t>A0311</w:t>
            </w:r>
            <w:r>
              <w:rPr>
                <w:rFonts w:hint="eastAsia" w:ascii="宋体" w:hAnsi="宋体" w:cs="宋体"/>
                <w:color w:val="000000"/>
                <w:kern w:val="0"/>
                <w:szCs w:val="21"/>
              </w:rPr>
              <w:t>牛的饲养</w:t>
            </w:r>
          </w:p>
        </w:tc>
        <w:tc>
          <w:tcPr>
            <w:tcW w:w="447" w:type="pct"/>
          </w:tcPr>
          <w:p w14:paraId="2A32423C">
            <w:pPr>
              <w:jc w:val="center"/>
            </w:pPr>
            <w:r>
              <w:rPr>
                <w:rFonts w:hint="eastAsia" w:ascii="宋体" w:hAnsi="宋体" w:cs="宋体"/>
                <w:color w:val="000000"/>
                <w:kern w:val="0"/>
                <w:szCs w:val="21"/>
              </w:rPr>
              <w:t>新增</w:t>
            </w:r>
          </w:p>
        </w:tc>
      </w:tr>
    </w:tbl>
    <w:p w14:paraId="78BA3D76">
      <w:pPr>
        <w:pStyle w:val="47"/>
        <w:spacing w:line="360" w:lineRule="auto"/>
        <w:ind w:firstLine="0" w:firstLineChars="0"/>
        <w:jc w:val="left"/>
        <w:rPr>
          <w:rFonts w:ascii="Times New Roman" w:hAnsi="Times New Roman"/>
          <w:sz w:val="24"/>
        </w:rPr>
      </w:pPr>
    </w:p>
    <w:p w14:paraId="7A6F15B9">
      <w:pPr>
        <w:pStyle w:val="47"/>
        <w:numPr>
          <w:ilvl w:val="0"/>
          <w:numId w:val="3"/>
        </w:numPr>
        <w:spacing w:line="360" w:lineRule="auto"/>
        <w:ind w:left="0" w:firstLine="0" w:firstLineChars="0"/>
        <w:jc w:val="left"/>
        <w:rPr>
          <w:rFonts w:ascii="Times New Roman" w:hAnsi="Times New Roman"/>
          <w:sz w:val="24"/>
        </w:rPr>
      </w:pPr>
      <w:r>
        <w:rPr>
          <w:rFonts w:hint="eastAsia" w:ascii="Times New Roman" w:hAnsi="Times New Roman"/>
          <w:sz w:val="24"/>
        </w:rPr>
        <w:t>用</w:t>
      </w:r>
      <w:r>
        <w:rPr>
          <w:rFonts w:ascii="Times New Roman" w:hAnsi="Times New Roman"/>
          <w:sz w:val="24"/>
        </w:rPr>
        <w:t>水定额</w:t>
      </w:r>
      <w:r>
        <w:rPr>
          <w:rFonts w:hint="eastAsia" w:ascii="Times New Roman" w:hAnsi="Times New Roman"/>
          <w:sz w:val="24"/>
        </w:rPr>
        <w:t>的</w:t>
      </w:r>
      <w:r>
        <w:rPr>
          <w:rFonts w:ascii="Times New Roman" w:hAnsi="Times New Roman"/>
          <w:sz w:val="24"/>
        </w:rPr>
        <w:t>变化</w:t>
      </w:r>
    </w:p>
    <w:p w14:paraId="25F50728">
      <w:pPr>
        <w:pStyle w:val="47"/>
        <w:spacing w:line="360" w:lineRule="auto"/>
        <w:ind w:firstLineChars="0"/>
        <w:jc w:val="left"/>
        <w:rPr>
          <w:rFonts w:ascii="Times New Roman" w:hAnsi="Times New Roman"/>
          <w:sz w:val="24"/>
        </w:rPr>
      </w:pPr>
      <w:r>
        <w:rPr>
          <w:rFonts w:hint="eastAsia" w:ascii="Times New Roman" w:hAnsi="Times New Roman"/>
          <w:sz w:val="24"/>
        </w:rPr>
        <w:t>对稻谷种植（水稻）用水定额进行了修</w:t>
      </w:r>
      <w:bookmarkStart w:id="16" w:name="OLE_LINK231"/>
      <w:bookmarkStart w:id="17" w:name="OLE_LINK230"/>
      <w:r>
        <w:rPr>
          <w:rFonts w:hint="eastAsia" w:ascii="Times New Roman" w:hAnsi="Times New Roman"/>
          <w:sz w:val="24"/>
        </w:rPr>
        <w:t>订</w:t>
      </w:r>
      <w:bookmarkEnd w:id="16"/>
      <w:bookmarkEnd w:id="17"/>
      <w:r>
        <w:rPr>
          <w:rFonts w:hint="eastAsia" w:ascii="Times New Roman" w:hAnsi="Times New Roman"/>
          <w:sz w:val="24"/>
        </w:rPr>
        <w:t>；</w:t>
      </w:r>
    </w:p>
    <w:p w14:paraId="15E899DD">
      <w:pPr>
        <w:pStyle w:val="47"/>
        <w:spacing w:line="360" w:lineRule="auto"/>
        <w:ind w:firstLineChars="0"/>
        <w:jc w:val="left"/>
        <w:rPr>
          <w:rFonts w:ascii="Times New Roman" w:hAnsi="Times New Roman"/>
          <w:sz w:val="24"/>
        </w:rPr>
      </w:pPr>
      <w:r>
        <w:rPr>
          <w:rFonts w:hint="eastAsia" w:ascii="Times New Roman" w:hAnsi="Times New Roman"/>
          <w:sz w:val="24"/>
        </w:rPr>
        <w:t>对玉米种植（玉米）的用水定额进行了修订；</w:t>
      </w:r>
    </w:p>
    <w:p w14:paraId="2AF7CA01">
      <w:pPr>
        <w:pStyle w:val="47"/>
        <w:spacing w:line="360" w:lineRule="auto"/>
        <w:ind w:firstLineChars="0"/>
        <w:jc w:val="left"/>
        <w:rPr>
          <w:rFonts w:ascii="Times New Roman" w:hAnsi="Times New Roman"/>
          <w:sz w:val="24"/>
        </w:rPr>
      </w:pPr>
      <w:r>
        <w:rPr>
          <w:rFonts w:hint="eastAsia" w:ascii="Times New Roman" w:hAnsi="Times New Roman"/>
          <w:sz w:val="24"/>
        </w:rPr>
        <w:t>对油料种植（花生）的用水定额进行了修订；</w:t>
      </w:r>
    </w:p>
    <w:p w14:paraId="1D36446F">
      <w:pPr>
        <w:pStyle w:val="47"/>
        <w:spacing w:line="360" w:lineRule="auto"/>
        <w:ind w:firstLineChars="0"/>
        <w:jc w:val="left"/>
        <w:rPr>
          <w:rFonts w:ascii="Times New Roman" w:hAnsi="Times New Roman"/>
          <w:sz w:val="24"/>
        </w:rPr>
      </w:pPr>
      <w:r>
        <w:rPr>
          <w:rFonts w:hint="eastAsia" w:ascii="Times New Roman" w:hAnsi="Times New Roman"/>
          <w:sz w:val="24"/>
        </w:rPr>
        <w:t>对蔬菜种植（薯芋类蔬菜）的用水定额进行了修订。</w:t>
      </w:r>
    </w:p>
    <w:p w14:paraId="780ED60C">
      <w:pPr>
        <w:pStyle w:val="2"/>
        <w:keepNext/>
        <w:keepLines/>
        <w:pageBreakBefore w:val="0"/>
        <w:widowControl w:val="0"/>
        <w:numPr>
          <w:ilvl w:val="0"/>
          <w:numId w:val="2"/>
        </w:numPr>
        <w:kinsoku/>
        <w:wordWrap/>
        <w:overflowPunct/>
        <w:topLinePunct w:val="0"/>
        <w:autoSpaceDE/>
        <w:autoSpaceDN/>
        <w:bidi w:val="0"/>
        <w:adjustRightInd/>
        <w:snapToGrid/>
        <w:spacing w:before="0" w:after="0" w:line="240" w:lineRule="auto"/>
        <w:ind w:left="420" w:leftChars="0" w:hanging="420" w:firstLineChars="0"/>
        <w:textAlignment w:val="auto"/>
        <w:rPr>
          <w:rFonts w:hint="eastAsia" w:ascii="楷体_GB2312" w:hAnsi="楷体_GB2312" w:eastAsia="楷体_GB2312" w:cs="楷体_GB2312"/>
        </w:rPr>
      </w:pPr>
      <w:r>
        <w:rPr>
          <w:rFonts w:hint="eastAsia" w:ascii="楷体_GB2312" w:hAnsi="楷体_GB2312" w:eastAsia="楷体_GB2312" w:cs="楷体_GB2312"/>
        </w:rPr>
        <w:t xml:space="preserve"> B采矿业</w:t>
      </w:r>
    </w:p>
    <w:p w14:paraId="0BCCD781">
      <w:pPr>
        <w:pStyle w:val="47"/>
        <w:spacing w:line="360" w:lineRule="auto"/>
        <w:ind w:firstLine="480"/>
        <w:jc w:val="left"/>
        <w:rPr>
          <w:rFonts w:ascii="Times New Roman" w:hAnsi="Times New Roman"/>
          <w:sz w:val="24"/>
        </w:rPr>
      </w:pPr>
      <w:r>
        <w:rPr>
          <w:rFonts w:hint="eastAsia" w:ascii="Times New Roman" w:hAnsi="Times New Roman"/>
          <w:sz w:val="24"/>
        </w:rPr>
        <w:t>（1）用水定额补充</w:t>
      </w:r>
    </w:p>
    <w:p w14:paraId="1B57C61C">
      <w:pPr>
        <w:pStyle w:val="47"/>
        <w:spacing w:line="360" w:lineRule="auto"/>
        <w:ind w:firstLine="480"/>
        <w:jc w:val="left"/>
        <w:rPr>
          <w:rFonts w:ascii="Times New Roman" w:hAnsi="Times New Roman"/>
          <w:sz w:val="24"/>
        </w:rPr>
      </w:pPr>
      <w:r>
        <w:rPr>
          <w:rFonts w:hint="eastAsia" w:ascii="Times New Roman" w:hAnsi="Times New Roman"/>
          <w:sz w:val="24"/>
        </w:rPr>
        <w:t>本</w:t>
      </w:r>
      <w:r>
        <w:rPr>
          <w:rFonts w:ascii="Times New Roman" w:hAnsi="Times New Roman"/>
          <w:sz w:val="24"/>
        </w:rPr>
        <w:t>次</w:t>
      </w:r>
      <w:r>
        <w:rPr>
          <w:rFonts w:hint="eastAsia" w:ascii="Times New Roman" w:hAnsi="Times New Roman"/>
          <w:sz w:val="24"/>
        </w:rPr>
        <w:t>采矿</w:t>
      </w:r>
      <w:r>
        <w:rPr>
          <w:rFonts w:ascii="Times New Roman" w:hAnsi="Times New Roman"/>
          <w:sz w:val="24"/>
        </w:rPr>
        <w:t>业共</w:t>
      </w:r>
      <w:r>
        <w:rPr>
          <w:rFonts w:hint="eastAsia" w:ascii="Times New Roman" w:hAnsi="Times New Roman"/>
          <w:sz w:val="24"/>
        </w:rPr>
        <w:t>新增</w:t>
      </w:r>
      <w:r>
        <w:rPr>
          <w:rFonts w:ascii="Times New Roman" w:hAnsi="Times New Roman"/>
          <w:sz w:val="24"/>
        </w:rPr>
        <w:t>了3</w:t>
      </w:r>
      <w:r>
        <w:rPr>
          <w:rFonts w:hint="eastAsia" w:ascii="Times New Roman" w:hAnsi="Times New Roman"/>
          <w:sz w:val="24"/>
        </w:rPr>
        <w:t>种</w:t>
      </w:r>
      <w:r>
        <w:rPr>
          <w:rFonts w:ascii="Times New Roman" w:hAnsi="Times New Roman"/>
          <w:sz w:val="24"/>
        </w:rPr>
        <w:t>产品。</w:t>
      </w:r>
    </w:p>
    <w:p w14:paraId="1B8A2761">
      <w:pPr>
        <w:pStyle w:val="7"/>
        <w:keepNext/>
        <w:rPr>
          <w:rFonts w:ascii="Times New Roman" w:hAnsi="Times New Roman"/>
          <w:sz w:val="21"/>
          <w:szCs w:val="21"/>
        </w:rPr>
      </w:pPr>
      <w:r>
        <w:rPr>
          <w:rFonts w:ascii="Times New Roman" w:hAnsi="Times New Roman"/>
          <w:sz w:val="21"/>
          <w:szCs w:val="21"/>
        </w:rPr>
        <w:t xml:space="preserve">表 </w:t>
      </w:r>
      <w:r>
        <w:rPr>
          <w:rFonts w:hint="eastAsia" w:ascii="Times New Roman" w:hAnsi="Times New Roman"/>
          <w:sz w:val="21"/>
          <w:szCs w:val="21"/>
          <w:lang w:val="en-US" w:eastAsia="zh-CN"/>
        </w:rPr>
        <w:t>3</w:t>
      </w:r>
      <w:r>
        <w:rPr>
          <w:rFonts w:ascii="Times New Roman" w:hAnsi="Times New Roman"/>
          <w:sz w:val="21"/>
          <w:szCs w:val="21"/>
        </w:rPr>
        <w:t xml:space="preserve">                        </w:t>
      </w:r>
      <w:r>
        <w:rPr>
          <w:rFonts w:hint="eastAsia" w:ascii="Times New Roman" w:hAnsi="Times New Roman"/>
          <w:sz w:val="21"/>
          <w:szCs w:val="21"/>
        </w:rPr>
        <w:t>采矿</w:t>
      </w:r>
      <w:r>
        <w:rPr>
          <w:rFonts w:ascii="Times New Roman" w:hAnsi="Times New Roman"/>
          <w:sz w:val="21"/>
          <w:szCs w:val="21"/>
        </w:rPr>
        <w:t>业</w:t>
      </w:r>
      <w:r>
        <w:rPr>
          <w:rFonts w:hint="eastAsia" w:ascii="Times New Roman" w:hAnsi="Times New Roman"/>
          <w:sz w:val="21"/>
          <w:szCs w:val="21"/>
        </w:rPr>
        <w:t>产品名称及归类明细表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308"/>
        <w:gridCol w:w="1702"/>
        <w:gridCol w:w="1419"/>
        <w:gridCol w:w="2695"/>
        <w:gridCol w:w="762"/>
      </w:tblGrid>
      <w:tr w14:paraId="3EABF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vMerge w:val="restart"/>
            <w:noWrap/>
            <w:vAlign w:val="center"/>
          </w:tcPr>
          <w:p w14:paraId="1D688586">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765" w:type="pct"/>
            <w:gridSpan w:val="2"/>
            <w:noWrap/>
            <w:vAlign w:val="center"/>
          </w:tcPr>
          <w:p w14:paraId="423E7086">
            <w:pPr>
              <w:widowControl/>
              <w:jc w:val="center"/>
              <w:rPr>
                <w:rFonts w:ascii="宋体" w:hAnsi="宋体" w:cs="宋体"/>
                <w:b/>
                <w:bCs/>
                <w:color w:val="000000"/>
                <w:kern w:val="0"/>
                <w:szCs w:val="21"/>
              </w:rPr>
            </w:pPr>
            <w:r>
              <w:rPr>
                <w:rFonts w:hint="eastAsia" w:ascii="宋体" w:hAnsi="宋体" w:cs="宋体"/>
                <w:b/>
                <w:bCs/>
                <w:color w:val="000000"/>
                <w:kern w:val="0"/>
                <w:szCs w:val="21"/>
              </w:rPr>
              <w:t>产品名称</w:t>
            </w:r>
          </w:p>
        </w:tc>
        <w:tc>
          <w:tcPr>
            <w:tcW w:w="2412" w:type="pct"/>
            <w:gridSpan w:val="2"/>
            <w:vAlign w:val="center"/>
          </w:tcPr>
          <w:p w14:paraId="26F55F70">
            <w:pPr>
              <w:widowControl/>
              <w:jc w:val="center"/>
              <w:rPr>
                <w:rFonts w:ascii="宋体" w:hAnsi="宋体" w:cs="宋体"/>
                <w:b/>
                <w:bCs/>
                <w:color w:val="000000"/>
                <w:kern w:val="0"/>
                <w:szCs w:val="21"/>
              </w:rPr>
            </w:pPr>
            <w:r>
              <w:rPr>
                <w:rFonts w:hint="eastAsia" w:ascii="宋体" w:hAnsi="宋体" w:cs="宋体"/>
                <w:b/>
                <w:bCs/>
                <w:color w:val="000000"/>
                <w:kern w:val="0"/>
                <w:szCs w:val="21"/>
              </w:rPr>
              <w:t>行业分类</w:t>
            </w:r>
          </w:p>
        </w:tc>
        <w:tc>
          <w:tcPr>
            <w:tcW w:w="447" w:type="pct"/>
            <w:vMerge w:val="restart"/>
            <w:vAlign w:val="center"/>
          </w:tcPr>
          <w:p w14:paraId="22060C3E">
            <w:pPr>
              <w:widowControl/>
              <w:jc w:val="center"/>
              <w:rPr>
                <w:rFonts w:ascii="宋体" w:hAnsi="宋体" w:cs="宋体"/>
                <w:b/>
                <w:bCs/>
                <w:color w:val="000000"/>
                <w:kern w:val="0"/>
                <w:szCs w:val="21"/>
              </w:rPr>
            </w:pPr>
            <w:r>
              <w:rPr>
                <w:rFonts w:hint="eastAsia" w:ascii="宋体" w:hAnsi="宋体" w:cs="宋体"/>
                <w:b/>
                <w:bCs/>
                <w:color w:val="000000"/>
                <w:kern w:val="0"/>
                <w:szCs w:val="21"/>
              </w:rPr>
              <w:t>备注</w:t>
            </w:r>
          </w:p>
        </w:tc>
      </w:tr>
      <w:tr w14:paraId="1D96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vMerge w:val="continue"/>
            <w:vAlign w:val="center"/>
          </w:tcPr>
          <w:p w14:paraId="7C64E9D7">
            <w:pPr>
              <w:widowControl/>
              <w:jc w:val="center"/>
              <w:rPr>
                <w:rFonts w:ascii="宋体" w:hAnsi="宋体" w:cs="宋体"/>
                <w:b/>
                <w:bCs/>
                <w:color w:val="000000"/>
                <w:kern w:val="0"/>
                <w:szCs w:val="21"/>
              </w:rPr>
            </w:pPr>
          </w:p>
        </w:tc>
        <w:tc>
          <w:tcPr>
            <w:tcW w:w="767" w:type="pct"/>
            <w:vAlign w:val="center"/>
          </w:tcPr>
          <w:p w14:paraId="3B6CD2FD">
            <w:pPr>
              <w:widowControl/>
              <w:jc w:val="center"/>
              <w:rPr>
                <w:rFonts w:ascii="宋体" w:hAnsi="宋体" w:cs="宋体"/>
                <w:b/>
                <w:bCs/>
                <w:color w:val="000000"/>
                <w:kern w:val="0"/>
                <w:szCs w:val="21"/>
              </w:rPr>
            </w:pPr>
            <w:r>
              <w:rPr>
                <w:rFonts w:hint="eastAsia" w:ascii="宋体" w:hAnsi="宋体" w:cs="宋体"/>
                <w:b/>
                <w:bCs/>
                <w:color w:val="000000"/>
                <w:kern w:val="0"/>
                <w:szCs w:val="21"/>
              </w:rPr>
              <w:t>修订前</w:t>
            </w:r>
          </w:p>
        </w:tc>
        <w:tc>
          <w:tcPr>
            <w:tcW w:w="998" w:type="pct"/>
            <w:vAlign w:val="center"/>
          </w:tcPr>
          <w:p w14:paraId="5596D0A4">
            <w:pPr>
              <w:widowControl/>
              <w:jc w:val="center"/>
              <w:rPr>
                <w:rFonts w:ascii="宋体" w:hAnsi="宋体" w:cs="宋体"/>
                <w:b/>
                <w:bCs/>
                <w:color w:val="000000"/>
                <w:kern w:val="0"/>
                <w:szCs w:val="21"/>
              </w:rPr>
            </w:pPr>
            <w:r>
              <w:rPr>
                <w:rFonts w:hint="eastAsia" w:ascii="宋体" w:hAnsi="宋体" w:cs="宋体"/>
                <w:b/>
                <w:bCs/>
                <w:color w:val="000000"/>
                <w:kern w:val="0"/>
                <w:szCs w:val="21"/>
              </w:rPr>
              <w:t>修订后</w:t>
            </w:r>
          </w:p>
        </w:tc>
        <w:tc>
          <w:tcPr>
            <w:tcW w:w="832" w:type="pct"/>
            <w:vAlign w:val="center"/>
          </w:tcPr>
          <w:p w14:paraId="6D1210AA">
            <w:pPr>
              <w:widowControl/>
              <w:jc w:val="center"/>
              <w:rPr>
                <w:rFonts w:ascii="宋体" w:hAnsi="宋体" w:cs="宋体"/>
                <w:b/>
                <w:bCs/>
                <w:color w:val="000000"/>
                <w:kern w:val="0"/>
                <w:szCs w:val="21"/>
              </w:rPr>
            </w:pPr>
            <w:r>
              <w:rPr>
                <w:rFonts w:hint="eastAsia" w:ascii="宋体" w:hAnsi="宋体" w:cs="宋体"/>
                <w:b/>
                <w:bCs/>
                <w:color w:val="000000"/>
                <w:kern w:val="0"/>
                <w:szCs w:val="21"/>
              </w:rPr>
              <w:t>修订前</w:t>
            </w:r>
          </w:p>
        </w:tc>
        <w:tc>
          <w:tcPr>
            <w:tcW w:w="1580" w:type="pct"/>
            <w:vAlign w:val="center"/>
          </w:tcPr>
          <w:p w14:paraId="4D6A515B">
            <w:pPr>
              <w:widowControl/>
              <w:jc w:val="center"/>
              <w:rPr>
                <w:rFonts w:ascii="宋体" w:hAnsi="宋体" w:cs="宋体"/>
                <w:b/>
                <w:bCs/>
                <w:color w:val="000000"/>
                <w:kern w:val="0"/>
                <w:szCs w:val="21"/>
              </w:rPr>
            </w:pPr>
            <w:r>
              <w:rPr>
                <w:rFonts w:hint="eastAsia" w:ascii="宋体" w:hAnsi="宋体" w:cs="宋体"/>
                <w:b/>
                <w:bCs/>
                <w:color w:val="000000"/>
                <w:kern w:val="0"/>
                <w:szCs w:val="21"/>
              </w:rPr>
              <w:t>修订后</w:t>
            </w:r>
          </w:p>
        </w:tc>
        <w:tc>
          <w:tcPr>
            <w:tcW w:w="447" w:type="pct"/>
            <w:vMerge w:val="continue"/>
            <w:vAlign w:val="center"/>
          </w:tcPr>
          <w:p w14:paraId="054B8B6F">
            <w:pPr>
              <w:widowControl/>
              <w:jc w:val="center"/>
              <w:rPr>
                <w:rFonts w:ascii="宋体" w:hAnsi="宋体" w:cs="宋体"/>
                <w:b/>
                <w:bCs/>
                <w:color w:val="000000"/>
                <w:kern w:val="0"/>
                <w:szCs w:val="21"/>
              </w:rPr>
            </w:pPr>
          </w:p>
        </w:tc>
      </w:tr>
      <w:tr w14:paraId="3950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noWrap/>
            <w:vAlign w:val="center"/>
          </w:tcPr>
          <w:p w14:paraId="30E68D9A">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67" w:type="pct"/>
          </w:tcPr>
          <w:p w14:paraId="3E69ECAF">
            <w:pPr>
              <w:jc w:val="center"/>
            </w:pPr>
            <w:r>
              <w:rPr>
                <w:rFonts w:hint="eastAsia" w:ascii="宋体" w:hAnsi="宋体" w:cs="宋体"/>
                <w:color w:val="000000"/>
                <w:kern w:val="0"/>
                <w:szCs w:val="21"/>
              </w:rPr>
              <w:t>/</w:t>
            </w:r>
          </w:p>
        </w:tc>
        <w:tc>
          <w:tcPr>
            <w:tcW w:w="998" w:type="pct"/>
            <w:vAlign w:val="center"/>
          </w:tcPr>
          <w:p w14:paraId="537A503A">
            <w:pPr>
              <w:widowControl/>
              <w:jc w:val="center"/>
              <w:rPr>
                <w:rFonts w:ascii="宋体" w:hAnsi="宋体" w:cs="宋体"/>
                <w:color w:val="000000"/>
                <w:kern w:val="0"/>
                <w:szCs w:val="21"/>
              </w:rPr>
            </w:pPr>
            <w:r>
              <w:rPr>
                <w:rFonts w:hint="eastAsia" w:ascii="宋体" w:hAnsi="宋体" w:cs="宋体"/>
                <w:color w:val="000000"/>
                <w:kern w:val="0"/>
                <w:szCs w:val="21"/>
              </w:rPr>
              <w:t>金矿开采</w:t>
            </w:r>
          </w:p>
        </w:tc>
        <w:tc>
          <w:tcPr>
            <w:tcW w:w="832" w:type="pct"/>
          </w:tcPr>
          <w:p w14:paraId="13FC8C36">
            <w:pPr>
              <w:jc w:val="center"/>
            </w:pPr>
            <w:r>
              <w:rPr>
                <w:rFonts w:hint="eastAsia" w:ascii="宋体" w:hAnsi="宋体" w:cs="宋体"/>
                <w:color w:val="000000"/>
                <w:kern w:val="0"/>
                <w:szCs w:val="21"/>
              </w:rPr>
              <w:t>/</w:t>
            </w:r>
          </w:p>
        </w:tc>
        <w:tc>
          <w:tcPr>
            <w:tcW w:w="1580" w:type="pct"/>
            <w:vAlign w:val="center"/>
          </w:tcPr>
          <w:p w14:paraId="1AEB4928">
            <w:pPr>
              <w:widowControl/>
              <w:jc w:val="center"/>
              <w:rPr>
                <w:rFonts w:ascii="宋体" w:hAnsi="宋体" w:cs="宋体"/>
                <w:color w:val="000000"/>
                <w:kern w:val="0"/>
                <w:szCs w:val="21"/>
              </w:rPr>
            </w:pPr>
            <w:r>
              <w:rPr>
                <w:rFonts w:hint="eastAsia" w:ascii="宋体" w:hAnsi="宋体" w:cs="宋体"/>
                <w:color w:val="000000"/>
                <w:kern w:val="0"/>
                <w:szCs w:val="21"/>
              </w:rPr>
              <w:t>B0921金矿采选</w:t>
            </w:r>
          </w:p>
        </w:tc>
        <w:tc>
          <w:tcPr>
            <w:tcW w:w="447" w:type="pct"/>
            <w:vAlign w:val="center"/>
          </w:tcPr>
          <w:p w14:paraId="4C060E20">
            <w:pPr>
              <w:widowControl/>
              <w:jc w:val="center"/>
              <w:rPr>
                <w:rFonts w:ascii="宋体" w:hAnsi="宋体" w:cs="宋体"/>
                <w:color w:val="000000"/>
                <w:kern w:val="0"/>
                <w:szCs w:val="21"/>
              </w:rPr>
            </w:pPr>
            <w:r>
              <w:rPr>
                <w:rFonts w:hint="eastAsia" w:ascii="宋体" w:hAnsi="宋体" w:cs="宋体"/>
                <w:color w:val="000000"/>
                <w:kern w:val="0"/>
                <w:szCs w:val="21"/>
              </w:rPr>
              <w:t>新增</w:t>
            </w:r>
          </w:p>
        </w:tc>
      </w:tr>
      <w:tr w14:paraId="3C483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noWrap/>
            <w:vAlign w:val="center"/>
          </w:tcPr>
          <w:p w14:paraId="27A28D2F">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767" w:type="pct"/>
          </w:tcPr>
          <w:p w14:paraId="0E214512">
            <w:pPr>
              <w:jc w:val="center"/>
            </w:pPr>
            <w:r>
              <w:rPr>
                <w:rFonts w:hint="eastAsia" w:ascii="宋体" w:hAnsi="宋体" w:cs="宋体"/>
                <w:color w:val="000000"/>
                <w:kern w:val="0"/>
                <w:szCs w:val="21"/>
              </w:rPr>
              <w:t>/</w:t>
            </w:r>
          </w:p>
        </w:tc>
        <w:tc>
          <w:tcPr>
            <w:tcW w:w="998" w:type="pct"/>
            <w:vAlign w:val="center"/>
          </w:tcPr>
          <w:p w14:paraId="0952ED5C">
            <w:pPr>
              <w:widowControl/>
              <w:jc w:val="center"/>
              <w:rPr>
                <w:rFonts w:ascii="宋体" w:hAnsi="宋体" w:cs="宋体"/>
                <w:color w:val="000000"/>
                <w:kern w:val="0"/>
                <w:szCs w:val="21"/>
              </w:rPr>
            </w:pPr>
            <w:r>
              <w:rPr>
                <w:rFonts w:hint="eastAsia" w:ascii="宋体" w:hAnsi="宋体" w:cs="宋体"/>
                <w:color w:val="000000"/>
                <w:kern w:val="0"/>
                <w:szCs w:val="21"/>
              </w:rPr>
              <w:t>金矿选矿</w:t>
            </w:r>
          </w:p>
        </w:tc>
        <w:tc>
          <w:tcPr>
            <w:tcW w:w="832" w:type="pct"/>
          </w:tcPr>
          <w:p w14:paraId="0A9727D1">
            <w:pPr>
              <w:jc w:val="center"/>
            </w:pPr>
            <w:r>
              <w:rPr>
                <w:rFonts w:hint="eastAsia" w:ascii="宋体" w:hAnsi="宋体" w:cs="宋体"/>
                <w:color w:val="000000"/>
                <w:kern w:val="0"/>
                <w:szCs w:val="21"/>
              </w:rPr>
              <w:t>/</w:t>
            </w:r>
          </w:p>
        </w:tc>
        <w:tc>
          <w:tcPr>
            <w:tcW w:w="1580" w:type="pct"/>
            <w:vAlign w:val="center"/>
          </w:tcPr>
          <w:p w14:paraId="283FA118">
            <w:pPr>
              <w:jc w:val="center"/>
            </w:pPr>
            <w:r>
              <w:rPr>
                <w:rFonts w:hint="eastAsia" w:ascii="宋体" w:hAnsi="宋体" w:cs="宋体"/>
                <w:color w:val="000000"/>
                <w:kern w:val="0"/>
                <w:szCs w:val="21"/>
              </w:rPr>
              <w:t>B0921金矿采选</w:t>
            </w:r>
          </w:p>
        </w:tc>
        <w:tc>
          <w:tcPr>
            <w:tcW w:w="447" w:type="pct"/>
            <w:vAlign w:val="center"/>
          </w:tcPr>
          <w:p w14:paraId="0CC26FA6">
            <w:pPr>
              <w:widowControl/>
              <w:jc w:val="center"/>
              <w:rPr>
                <w:rFonts w:ascii="宋体" w:hAnsi="宋体" w:cs="宋体"/>
                <w:color w:val="000000"/>
                <w:kern w:val="0"/>
                <w:szCs w:val="21"/>
              </w:rPr>
            </w:pPr>
            <w:r>
              <w:rPr>
                <w:rFonts w:hint="eastAsia" w:ascii="宋体" w:hAnsi="宋体" w:cs="宋体"/>
                <w:color w:val="000000"/>
                <w:kern w:val="0"/>
                <w:szCs w:val="21"/>
              </w:rPr>
              <w:t>新增</w:t>
            </w:r>
          </w:p>
        </w:tc>
      </w:tr>
      <w:tr w14:paraId="245C4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noWrap/>
            <w:vAlign w:val="center"/>
          </w:tcPr>
          <w:p w14:paraId="4C21DF9A">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767" w:type="pct"/>
          </w:tcPr>
          <w:p w14:paraId="365B2389">
            <w:pPr>
              <w:jc w:val="center"/>
            </w:pPr>
            <w:r>
              <w:rPr>
                <w:rFonts w:hint="eastAsia" w:ascii="宋体" w:hAnsi="宋体" w:cs="宋体"/>
                <w:color w:val="000000"/>
                <w:kern w:val="0"/>
                <w:szCs w:val="21"/>
              </w:rPr>
              <w:t>/</w:t>
            </w:r>
          </w:p>
        </w:tc>
        <w:tc>
          <w:tcPr>
            <w:tcW w:w="998" w:type="pct"/>
            <w:vAlign w:val="center"/>
          </w:tcPr>
          <w:p w14:paraId="2019B0CC">
            <w:pPr>
              <w:widowControl/>
              <w:jc w:val="center"/>
              <w:rPr>
                <w:rFonts w:ascii="宋体" w:hAnsi="宋体" w:cs="宋体"/>
                <w:color w:val="000000"/>
                <w:kern w:val="0"/>
                <w:szCs w:val="21"/>
              </w:rPr>
            </w:pPr>
            <w:r>
              <w:rPr>
                <w:rFonts w:hint="eastAsia" w:ascii="宋体" w:hAnsi="宋体" w:cs="宋体"/>
                <w:color w:val="000000"/>
                <w:kern w:val="0"/>
                <w:szCs w:val="21"/>
              </w:rPr>
              <w:t>硼矿选矿</w:t>
            </w:r>
          </w:p>
        </w:tc>
        <w:tc>
          <w:tcPr>
            <w:tcW w:w="832" w:type="pct"/>
          </w:tcPr>
          <w:p w14:paraId="12DC1DE7">
            <w:pPr>
              <w:jc w:val="center"/>
            </w:pPr>
          </w:p>
        </w:tc>
        <w:tc>
          <w:tcPr>
            <w:tcW w:w="1580" w:type="pct"/>
            <w:vAlign w:val="center"/>
          </w:tcPr>
          <w:p w14:paraId="6950EED0">
            <w:pPr>
              <w:jc w:val="center"/>
            </w:pPr>
            <w:r>
              <w:rPr>
                <w:rFonts w:ascii="宋体" w:hAnsi="宋体" w:cs="宋体"/>
                <w:color w:val="000000"/>
                <w:kern w:val="0"/>
                <w:szCs w:val="21"/>
              </w:rPr>
              <w:t>B1020</w:t>
            </w:r>
            <w:r>
              <w:rPr>
                <w:rFonts w:hint="eastAsia" w:ascii="宋体" w:hAnsi="宋体" w:cs="宋体"/>
                <w:color w:val="000000"/>
                <w:kern w:val="0"/>
                <w:szCs w:val="21"/>
              </w:rPr>
              <w:t>化学矿开采</w:t>
            </w:r>
          </w:p>
        </w:tc>
        <w:tc>
          <w:tcPr>
            <w:tcW w:w="447" w:type="pct"/>
            <w:vAlign w:val="center"/>
          </w:tcPr>
          <w:p w14:paraId="4E85437F">
            <w:pPr>
              <w:widowControl/>
              <w:jc w:val="center"/>
              <w:rPr>
                <w:rFonts w:ascii="宋体" w:hAnsi="宋体" w:cs="宋体"/>
                <w:color w:val="000000"/>
                <w:kern w:val="0"/>
                <w:szCs w:val="21"/>
              </w:rPr>
            </w:pPr>
            <w:r>
              <w:rPr>
                <w:rFonts w:hint="eastAsia" w:ascii="宋体" w:hAnsi="宋体" w:cs="宋体"/>
                <w:color w:val="000000"/>
                <w:kern w:val="0"/>
                <w:szCs w:val="21"/>
              </w:rPr>
              <w:t>新增</w:t>
            </w:r>
          </w:p>
        </w:tc>
      </w:tr>
    </w:tbl>
    <w:p w14:paraId="3FBFF340"/>
    <w:p w14:paraId="0FEAE753">
      <w:pPr>
        <w:pStyle w:val="47"/>
        <w:spacing w:line="360" w:lineRule="auto"/>
        <w:ind w:firstLine="480"/>
        <w:jc w:val="left"/>
        <w:rPr>
          <w:rFonts w:ascii="Times New Roman" w:hAnsi="Times New Roman"/>
          <w:sz w:val="24"/>
        </w:rPr>
      </w:pPr>
      <w:r>
        <w:rPr>
          <w:rFonts w:hint="eastAsia" w:ascii="Times New Roman" w:hAnsi="Times New Roman"/>
          <w:sz w:val="24"/>
        </w:rPr>
        <w:t>（2）用水定额修订</w:t>
      </w:r>
    </w:p>
    <w:p w14:paraId="47607D5F">
      <w:pPr>
        <w:spacing w:line="360" w:lineRule="auto"/>
        <w:ind w:firstLine="480" w:firstLineChars="200"/>
        <w:rPr>
          <w:rFonts w:ascii="Times New Roman" w:hAnsi="Times New Roman"/>
          <w:sz w:val="24"/>
        </w:rPr>
      </w:pPr>
      <w:r>
        <w:rPr>
          <w:rFonts w:hint="eastAsia" w:ascii="Times New Roman" w:hAnsi="Times New Roman"/>
          <w:sz w:val="24"/>
        </w:rPr>
        <w:t>删除了用水定额领跑值；</w:t>
      </w:r>
    </w:p>
    <w:p w14:paraId="2C4137DB">
      <w:pPr>
        <w:spacing w:line="360" w:lineRule="auto"/>
        <w:ind w:firstLine="480" w:firstLineChars="200"/>
        <w:rPr>
          <w:rFonts w:ascii="Times New Roman" w:hAnsi="Times New Roman"/>
          <w:sz w:val="24"/>
        </w:rPr>
      </w:pPr>
      <w:r>
        <w:rPr>
          <w:rFonts w:hint="eastAsia" w:ascii="Times New Roman" w:hAnsi="Times New Roman"/>
          <w:sz w:val="24"/>
        </w:rPr>
        <w:t>对烟煤和无烟煤的开采洗选的选煤用水定额进行了修订；</w:t>
      </w:r>
    </w:p>
    <w:p w14:paraId="2330104E">
      <w:pPr>
        <w:spacing w:line="360" w:lineRule="auto"/>
        <w:ind w:firstLine="480" w:firstLineChars="200"/>
        <w:rPr>
          <w:rFonts w:ascii="Times New Roman" w:hAnsi="Times New Roman"/>
          <w:sz w:val="24"/>
        </w:rPr>
      </w:pPr>
      <w:r>
        <w:rPr>
          <w:rFonts w:hint="eastAsia" w:ascii="Times New Roman" w:hAnsi="Times New Roman"/>
          <w:sz w:val="24"/>
        </w:rPr>
        <w:t>对陆地石油开采的天然原油开采用水定额进行了修订；</w:t>
      </w:r>
    </w:p>
    <w:p w14:paraId="5A1E0A72">
      <w:pPr>
        <w:spacing w:line="360" w:lineRule="auto"/>
        <w:ind w:firstLine="480" w:firstLineChars="200"/>
        <w:rPr>
          <w:rFonts w:ascii="Times New Roman" w:hAnsi="Times New Roman"/>
          <w:sz w:val="24"/>
        </w:rPr>
      </w:pPr>
      <w:r>
        <w:rPr>
          <w:rFonts w:hint="eastAsia" w:ascii="Times New Roman" w:hAnsi="Times New Roman"/>
          <w:sz w:val="24"/>
        </w:rPr>
        <w:t>对陆地天然气开采的天然气开采用水定额进行了修订；</w:t>
      </w:r>
    </w:p>
    <w:p w14:paraId="6F01AAF7">
      <w:pPr>
        <w:spacing w:line="360" w:lineRule="auto"/>
        <w:ind w:firstLine="480" w:firstLineChars="200"/>
        <w:rPr>
          <w:rFonts w:ascii="Times New Roman" w:hAnsi="Times New Roman"/>
          <w:sz w:val="24"/>
        </w:rPr>
      </w:pPr>
      <w:r>
        <w:rPr>
          <w:rFonts w:hint="eastAsia" w:ascii="Times New Roman" w:hAnsi="Times New Roman"/>
          <w:sz w:val="24"/>
        </w:rPr>
        <w:t>对铅锌矿采选的铅锌矿选矿用水定额进行了修订；</w:t>
      </w:r>
    </w:p>
    <w:p w14:paraId="6AB99A72">
      <w:pPr>
        <w:spacing w:line="360" w:lineRule="auto"/>
        <w:ind w:firstLine="480" w:firstLineChars="200"/>
        <w:rPr>
          <w:rFonts w:ascii="Times New Roman" w:hAnsi="Times New Roman"/>
          <w:sz w:val="24"/>
        </w:rPr>
      </w:pPr>
      <w:r>
        <w:rPr>
          <w:rFonts w:hint="eastAsia" w:ascii="Times New Roman" w:hAnsi="Times New Roman"/>
          <w:sz w:val="24"/>
        </w:rPr>
        <w:t>对化学矿开采的硼矿开采用水定额进行了修订。</w:t>
      </w:r>
    </w:p>
    <w:p w14:paraId="61C7F9F1">
      <w:pPr>
        <w:pStyle w:val="2"/>
        <w:keepNext/>
        <w:keepLines/>
        <w:pageBreakBefore w:val="0"/>
        <w:widowControl w:val="0"/>
        <w:numPr>
          <w:ilvl w:val="0"/>
          <w:numId w:val="2"/>
        </w:numPr>
        <w:kinsoku/>
        <w:wordWrap/>
        <w:overflowPunct/>
        <w:topLinePunct w:val="0"/>
        <w:autoSpaceDE/>
        <w:autoSpaceDN/>
        <w:bidi w:val="0"/>
        <w:adjustRightInd/>
        <w:snapToGrid/>
        <w:spacing w:before="0" w:after="0" w:line="240" w:lineRule="auto"/>
        <w:ind w:left="420" w:leftChars="0" w:hanging="420" w:firstLineChars="0"/>
        <w:textAlignment w:val="auto"/>
        <w:rPr>
          <w:rFonts w:hint="eastAsia" w:ascii="楷体_GB2312" w:hAnsi="楷体_GB2312" w:eastAsia="楷体_GB2312" w:cs="楷体_GB2312"/>
        </w:rPr>
      </w:pPr>
      <w:r>
        <w:rPr>
          <w:rFonts w:hint="eastAsia" w:ascii="楷体_GB2312" w:hAnsi="楷体_GB2312" w:eastAsia="楷体_GB2312" w:cs="楷体_GB2312"/>
        </w:rPr>
        <w:t xml:space="preserve"> C制造业</w:t>
      </w:r>
    </w:p>
    <w:p w14:paraId="39BD8A92">
      <w:pPr>
        <w:pStyle w:val="47"/>
        <w:spacing w:line="360" w:lineRule="auto"/>
        <w:ind w:firstLine="0" w:firstLineChars="0"/>
        <w:jc w:val="left"/>
        <w:rPr>
          <w:rFonts w:ascii="Times New Roman" w:hAnsi="Times New Roman"/>
          <w:sz w:val="24"/>
        </w:rPr>
      </w:pPr>
      <w:r>
        <w:rPr>
          <w:rFonts w:ascii="Times New Roman" w:hAnsi="Times New Roman"/>
          <w:sz w:val="24"/>
        </w:rPr>
        <w:t>（</w:t>
      </w:r>
      <w:r>
        <w:rPr>
          <w:rFonts w:hint="eastAsia" w:ascii="Times New Roman" w:hAnsi="Times New Roman"/>
          <w:sz w:val="24"/>
        </w:rPr>
        <w:t>1</w:t>
      </w:r>
      <w:r>
        <w:rPr>
          <w:rFonts w:ascii="Times New Roman" w:hAnsi="Times New Roman"/>
          <w:sz w:val="24"/>
        </w:rPr>
        <w:t>）</w:t>
      </w:r>
      <w:r>
        <w:rPr>
          <w:rFonts w:hint="eastAsia" w:ascii="Times New Roman" w:hAnsi="Times New Roman"/>
          <w:sz w:val="24"/>
        </w:rPr>
        <w:t>用水定额补充</w:t>
      </w:r>
    </w:p>
    <w:p w14:paraId="120F8366">
      <w:pPr>
        <w:pStyle w:val="47"/>
        <w:spacing w:line="360" w:lineRule="auto"/>
        <w:ind w:firstLine="480"/>
        <w:jc w:val="left"/>
        <w:rPr>
          <w:rFonts w:ascii="Times New Roman" w:hAnsi="Times New Roman"/>
          <w:sz w:val="24"/>
        </w:rPr>
      </w:pPr>
      <w:r>
        <w:rPr>
          <w:rFonts w:hint="eastAsia" w:ascii="Times New Roman" w:hAnsi="Times New Roman"/>
          <w:sz w:val="24"/>
        </w:rPr>
        <w:t>本</w:t>
      </w:r>
      <w:r>
        <w:rPr>
          <w:rFonts w:ascii="Times New Roman" w:hAnsi="Times New Roman"/>
          <w:sz w:val="24"/>
        </w:rPr>
        <w:t>次</w:t>
      </w:r>
      <w:r>
        <w:rPr>
          <w:rFonts w:hint="eastAsia" w:ascii="Times New Roman" w:hAnsi="Times New Roman"/>
          <w:sz w:val="24"/>
        </w:rPr>
        <w:t>制造</w:t>
      </w:r>
      <w:r>
        <w:rPr>
          <w:rFonts w:ascii="Times New Roman" w:hAnsi="Times New Roman"/>
          <w:sz w:val="24"/>
        </w:rPr>
        <w:t>业共</w:t>
      </w:r>
      <w:r>
        <w:rPr>
          <w:rFonts w:hint="eastAsia" w:ascii="Times New Roman" w:hAnsi="Times New Roman"/>
          <w:sz w:val="24"/>
        </w:rPr>
        <w:t>新增</w:t>
      </w:r>
      <w:r>
        <w:rPr>
          <w:rFonts w:ascii="Times New Roman" w:hAnsi="Times New Roman"/>
          <w:sz w:val="24"/>
        </w:rPr>
        <w:t>了</w:t>
      </w:r>
      <w:r>
        <w:rPr>
          <w:rFonts w:hint="eastAsia" w:ascii="Times New Roman" w:hAnsi="Times New Roman"/>
          <w:sz w:val="24"/>
        </w:rPr>
        <w:t>29种</w:t>
      </w:r>
      <w:r>
        <w:rPr>
          <w:rFonts w:ascii="Times New Roman" w:hAnsi="Times New Roman"/>
          <w:sz w:val="24"/>
        </w:rPr>
        <w:t>产品。</w:t>
      </w:r>
    </w:p>
    <w:p w14:paraId="2EE5E571">
      <w:pPr>
        <w:pStyle w:val="7"/>
        <w:keepNext/>
        <w:rPr>
          <w:rFonts w:ascii="Times New Roman" w:hAnsi="Times New Roman"/>
          <w:sz w:val="21"/>
          <w:szCs w:val="21"/>
        </w:rPr>
      </w:pPr>
      <w:r>
        <w:rPr>
          <w:rFonts w:ascii="Times New Roman" w:hAnsi="Times New Roman"/>
          <w:sz w:val="21"/>
          <w:szCs w:val="21"/>
        </w:rPr>
        <w:t xml:space="preserve">表 4                        </w:t>
      </w:r>
      <w:r>
        <w:rPr>
          <w:rFonts w:hint="eastAsia" w:ascii="Times New Roman" w:hAnsi="Times New Roman"/>
          <w:sz w:val="21"/>
          <w:szCs w:val="21"/>
        </w:rPr>
        <w:t>制造</w:t>
      </w:r>
      <w:r>
        <w:rPr>
          <w:rFonts w:ascii="Times New Roman" w:hAnsi="Times New Roman"/>
          <w:sz w:val="21"/>
          <w:szCs w:val="21"/>
        </w:rPr>
        <w:t>业</w:t>
      </w:r>
      <w:r>
        <w:rPr>
          <w:rFonts w:hint="eastAsia" w:ascii="Times New Roman" w:hAnsi="Times New Roman"/>
          <w:sz w:val="21"/>
          <w:szCs w:val="21"/>
        </w:rPr>
        <w:t>产品名称及归类明细表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307"/>
        <w:gridCol w:w="1702"/>
        <w:gridCol w:w="1559"/>
        <w:gridCol w:w="2557"/>
        <w:gridCol w:w="761"/>
      </w:tblGrid>
      <w:tr w14:paraId="01EE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376" w:type="pct"/>
            <w:vMerge w:val="restart"/>
            <w:noWrap/>
            <w:vAlign w:val="center"/>
          </w:tcPr>
          <w:p w14:paraId="5FF7B77F">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764" w:type="pct"/>
            <w:gridSpan w:val="2"/>
            <w:noWrap/>
            <w:vAlign w:val="center"/>
          </w:tcPr>
          <w:p w14:paraId="1A1681AC">
            <w:pPr>
              <w:widowControl/>
              <w:jc w:val="center"/>
              <w:rPr>
                <w:rFonts w:ascii="宋体" w:hAnsi="宋体" w:cs="宋体"/>
                <w:b/>
                <w:bCs/>
                <w:color w:val="000000"/>
                <w:kern w:val="0"/>
                <w:szCs w:val="21"/>
              </w:rPr>
            </w:pPr>
            <w:r>
              <w:rPr>
                <w:rFonts w:hint="eastAsia" w:ascii="宋体" w:hAnsi="宋体" w:cs="宋体"/>
                <w:b/>
                <w:bCs/>
                <w:color w:val="000000"/>
                <w:kern w:val="0"/>
                <w:szCs w:val="21"/>
              </w:rPr>
              <w:t>产品名称</w:t>
            </w:r>
          </w:p>
        </w:tc>
        <w:tc>
          <w:tcPr>
            <w:tcW w:w="2412" w:type="pct"/>
            <w:gridSpan w:val="2"/>
            <w:vAlign w:val="center"/>
          </w:tcPr>
          <w:p w14:paraId="647D3EAE">
            <w:pPr>
              <w:widowControl/>
              <w:jc w:val="center"/>
              <w:rPr>
                <w:rFonts w:ascii="宋体" w:hAnsi="宋体" w:cs="宋体"/>
                <w:b/>
                <w:bCs/>
                <w:color w:val="000000"/>
                <w:kern w:val="0"/>
                <w:szCs w:val="21"/>
              </w:rPr>
            </w:pPr>
            <w:r>
              <w:rPr>
                <w:rFonts w:hint="eastAsia" w:ascii="宋体" w:hAnsi="宋体" w:cs="宋体"/>
                <w:b/>
                <w:bCs/>
                <w:color w:val="000000"/>
                <w:kern w:val="0"/>
                <w:szCs w:val="21"/>
              </w:rPr>
              <w:t>行业分类</w:t>
            </w:r>
          </w:p>
        </w:tc>
        <w:tc>
          <w:tcPr>
            <w:tcW w:w="446" w:type="pct"/>
            <w:vMerge w:val="restart"/>
            <w:vAlign w:val="center"/>
          </w:tcPr>
          <w:p w14:paraId="1010E955">
            <w:pPr>
              <w:widowControl/>
              <w:jc w:val="center"/>
              <w:rPr>
                <w:rFonts w:ascii="宋体" w:hAnsi="宋体" w:cs="宋体"/>
                <w:b/>
                <w:bCs/>
                <w:color w:val="000000"/>
                <w:kern w:val="0"/>
                <w:szCs w:val="21"/>
              </w:rPr>
            </w:pPr>
            <w:r>
              <w:rPr>
                <w:rFonts w:hint="eastAsia" w:ascii="宋体" w:hAnsi="宋体" w:cs="宋体"/>
                <w:b/>
                <w:bCs/>
                <w:color w:val="000000"/>
                <w:kern w:val="0"/>
                <w:szCs w:val="21"/>
              </w:rPr>
              <w:t>备注</w:t>
            </w:r>
          </w:p>
        </w:tc>
      </w:tr>
      <w:tr w14:paraId="0D19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376" w:type="pct"/>
            <w:vMerge w:val="continue"/>
            <w:vAlign w:val="center"/>
          </w:tcPr>
          <w:p w14:paraId="1EC08221">
            <w:pPr>
              <w:widowControl/>
              <w:jc w:val="center"/>
              <w:rPr>
                <w:rFonts w:ascii="宋体" w:hAnsi="宋体" w:cs="宋体"/>
                <w:b/>
                <w:bCs/>
                <w:color w:val="000000"/>
                <w:kern w:val="0"/>
                <w:szCs w:val="21"/>
              </w:rPr>
            </w:pPr>
          </w:p>
        </w:tc>
        <w:tc>
          <w:tcPr>
            <w:tcW w:w="766" w:type="pct"/>
            <w:vAlign w:val="center"/>
          </w:tcPr>
          <w:p w14:paraId="3A8A92E5">
            <w:pPr>
              <w:widowControl/>
              <w:jc w:val="center"/>
              <w:rPr>
                <w:rFonts w:ascii="宋体" w:hAnsi="宋体" w:cs="宋体"/>
                <w:b/>
                <w:bCs/>
                <w:color w:val="000000"/>
                <w:kern w:val="0"/>
                <w:szCs w:val="21"/>
              </w:rPr>
            </w:pPr>
            <w:r>
              <w:rPr>
                <w:rFonts w:hint="eastAsia" w:ascii="宋体" w:hAnsi="宋体" w:cs="宋体"/>
                <w:b/>
                <w:bCs/>
                <w:color w:val="000000"/>
                <w:kern w:val="0"/>
                <w:szCs w:val="21"/>
              </w:rPr>
              <w:t>修订前</w:t>
            </w:r>
          </w:p>
        </w:tc>
        <w:tc>
          <w:tcPr>
            <w:tcW w:w="997" w:type="pct"/>
            <w:vAlign w:val="center"/>
          </w:tcPr>
          <w:p w14:paraId="418F7C7A">
            <w:pPr>
              <w:widowControl/>
              <w:jc w:val="center"/>
              <w:rPr>
                <w:rFonts w:ascii="宋体" w:hAnsi="宋体" w:cs="宋体"/>
                <w:b/>
                <w:bCs/>
                <w:color w:val="000000"/>
                <w:kern w:val="0"/>
                <w:szCs w:val="21"/>
              </w:rPr>
            </w:pPr>
            <w:r>
              <w:rPr>
                <w:rFonts w:hint="eastAsia" w:ascii="宋体" w:hAnsi="宋体" w:cs="宋体"/>
                <w:b/>
                <w:bCs/>
                <w:color w:val="000000"/>
                <w:kern w:val="0"/>
                <w:szCs w:val="21"/>
              </w:rPr>
              <w:t>修订后</w:t>
            </w:r>
          </w:p>
        </w:tc>
        <w:tc>
          <w:tcPr>
            <w:tcW w:w="914" w:type="pct"/>
            <w:vAlign w:val="center"/>
          </w:tcPr>
          <w:p w14:paraId="08F87F2F">
            <w:pPr>
              <w:widowControl/>
              <w:jc w:val="center"/>
              <w:rPr>
                <w:rFonts w:ascii="宋体" w:hAnsi="宋体" w:cs="宋体"/>
                <w:b/>
                <w:bCs/>
                <w:color w:val="000000"/>
                <w:kern w:val="0"/>
                <w:szCs w:val="21"/>
              </w:rPr>
            </w:pPr>
            <w:r>
              <w:rPr>
                <w:rFonts w:hint="eastAsia" w:ascii="宋体" w:hAnsi="宋体" w:cs="宋体"/>
                <w:b/>
                <w:bCs/>
                <w:color w:val="000000"/>
                <w:kern w:val="0"/>
                <w:szCs w:val="21"/>
              </w:rPr>
              <w:t>修订前</w:t>
            </w:r>
          </w:p>
        </w:tc>
        <w:tc>
          <w:tcPr>
            <w:tcW w:w="1498" w:type="pct"/>
            <w:vAlign w:val="center"/>
          </w:tcPr>
          <w:p w14:paraId="523BDEB5">
            <w:pPr>
              <w:widowControl/>
              <w:jc w:val="center"/>
              <w:rPr>
                <w:rFonts w:ascii="宋体" w:hAnsi="宋体" w:cs="宋体"/>
                <w:b/>
                <w:bCs/>
                <w:color w:val="000000"/>
                <w:kern w:val="0"/>
                <w:szCs w:val="21"/>
              </w:rPr>
            </w:pPr>
            <w:r>
              <w:rPr>
                <w:rFonts w:hint="eastAsia" w:ascii="宋体" w:hAnsi="宋体" w:cs="宋体"/>
                <w:b/>
                <w:bCs/>
                <w:color w:val="000000"/>
                <w:kern w:val="0"/>
                <w:szCs w:val="21"/>
              </w:rPr>
              <w:t>修订后</w:t>
            </w:r>
          </w:p>
        </w:tc>
        <w:tc>
          <w:tcPr>
            <w:tcW w:w="446" w:type="pct"/>
            <w:vMerge w:val="continue"/>
            <w:vAlign w:val="center"/>
          </w:tcPr>
          <w:p w14:paraId="0140F6E2">
            <w:pPr>
              <w:widowControl/>
              <w:jc w:val="center"/>
              <w:rPr>
                <w:rFonts w:ascii="宋体" w:hAnsi="宋体" w:cs="宋体"/>
                <w:b/>
                <w:bCs/>
                <w:color w:val="000000"/>
                <w:kern w:val="0"/>
                <w:szCs w:val="21"/>
              </w:rPr>
            </w:pPr>
          </w:p>
        </w:tc>
      </w:tr>
      <w:tr w14:paraId="4C8F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shd w:val="clear" w:color="auto" w:fill="auto"/>
            <w:noWrap/>
            <w:vAlign w:val="center"/>
          </w:tcPr>
          <w:p w14:paraId="0DBB3352">
            <w:pPr>
              <w:jc w:val="center"/>
              <w:rPr>
                <w:rFonts w:ascii="宋体" w:hAnsi="宋体" w:cs="宋体"/>
                <w:color w:val="000000"/>
                <w:kern w:val="0"/>
                <w:szCs w:val="21"/>
              </w:rPr>
            </w:pPr>
            <w:r>
              <w:rPr>
                <w:rFonts w:hint="eastAsia" w:ascii="宋体" w:hAnsi="宋体" w:cs="宋体"/>
                <w:color w:val="000000"/>
                <w:kern w:val="0"/>
                <w:szCs w:val="21"/>
              </w:rPr>
              <w:t>1</w:t>
            </w:r>
          </w:p>
        </w:tc>
        <w:tc>
          <w:tcPr>
            <w:tcW w:w="766" w:type="pct"/>
            <w:vAlign w:val="center"/>
          </w:tcPr>
          <w:p w14:paraId="0AEE9796">
            <w:pPr>
              <w:jc w:val="center"/>
            </w:pPr>
            <w:r>
              <w:rPr>
                <w:rFonts w:hint="eastAsia" w:ascii="宋体" w:hAnsi="宋体" w:cs="宋体"/>
                <w:color w:val="000000"/>
                <w:kern w:val="0"/>
                <w:szCs w:val="21"/>
              </w:rPr>
              <w:t>/</w:t>
            </w:r>
          </w:p>
        </w:tc>
        <w:tc>
          <w:tcPr>
            <w:tcW w:w="997" w:type="pct"/>
            <w:vAlign w:val="center"/>
          </w:tcPr>
          <w:p w14:paraId="78736D36">
            <w:pPr>
              <w:widowControl/>
              <w:jc w:val="center"/>
              <w:rPr>
                <w:rFonts w:ascii="宋体" w:hAnsi="宋体" w:cs="宋体"/>
                <w:color w:val="000000"/>
                <w:kern w:val="0"/>
                <w:szCs w:val="21"/>
              </w:rPr>
            </w:pPr>
            <w:r>
              <w:rPr>
                <w:rFonts w:hint="eastAsia" w:ascii="宋体" w:hAnsi="宋体" w:cs="宋体"/>
                <w:color w:val="000000"/>
                <w:kern w:val="0"/>
                <w:szCs w:val="21"/>
              </w:rPr>
              <w:t>酸菜</w:t>
            </w:r>
          </w:p>
        </w:tc>
        <w:tc>
          <w:tcPr>
            <w:tcW w:w="914" w:type="pct"/>
            <w:vAlign w:val="center"/>
          </w:tcPr>
          <w:p w14:paraId="49852CEE">
            <w:pPr>
              <w:jc w:val="center"/>
            </w:pPr>
            <w:r>
              <w:rPr>
                <w:rFonts w:hint="eastAsia" w:ascii="宋体" w:hAnsi="宋体" w:cs="宋体"/>
                <w:color w:val="000000"/>
                <w:kern w:val="0"/>
                <w:szCs w:val="21"/>
              </w:rPr>
              <w:t>/</w:t>
            </w:r>
          </w:p>
        </w:tc>
        <w:tc>
          <w:tcPr>
            <w:tcW w:w="1498" w:type="pct"/>
            <w:vAlign w:val="center"/>
          </w:tcPr>
          <w:p w14:paraId="08507F20">
            <w:pPr>
              <w:widowControl/>
              <w:jc w:val="center"/>
              <w:rPr>
                <w:rFonts w:ascii="宋体" w:hAnsi="宋体" w:cs="宋体"/>
                <w:color w:val="000000"/>
                <w:kern w:val="0"/>
                <w:szCs w:val="21"/>
              </w:rPr>
            </w:pPr>
            <w:r>
              <w:rPr>
                <w:rFonts w:ascii="宋体" w:hAnsi="宋体" w:cs="宋体"/>
                <w:color w:val="000000"/>
                <w:kern w:val="0"/>
                <w:szCs w:val="21"/>
              </w:rPr>
              <w:t>C1371</w:t>
            </w:r>
            <w:r>
              <w:rPr>
                <w:rFonts w:hint="eastAsia" w:ascii="宋体" w:hAnsi="宋体" w:cs="宋体"/>
                <w:color w:val="000000"/>
                <w:kern w:val="0"/>
                <w:szCs w:val="21"/>
              </w:rPr>
              <w:t>蔬菜加工</w:t>
            </w:r>
          </w:p>
        </w:tc>
        <w:tc>
          <w:tcPr>
            <w:tcW w:w="446" w:type="pct"/>
            <w:vAlign w:val="center"/>
          </w:tcPr>
          <w:p w14:paraId="37CE84E7">
            <w:pPr>
              <w:widowControl/>
              <w:jc w:val="center"/>
              <w:rPr>
                <w:rFonts w:ascii="宋体" w:hAnsi="宋体" w:cs="宋体"/>
                <w:color w:val="000000"/>
                <w:kern w:val="0"/>
                <w:szCs w:val="21"/>
              </w:rPr>
            </w:pPr>
            <w:r>
              <w:rPr>
                <w:rFonts w:hint="eastAsia" w:ascii="宋体" w:hAnsi="宋体" w:cs="宋体"/>
                <w:color w:val="000000"/>
                <w:kern w:val="0"/>
                <w:szCs w:val="21"/>
              </w:rPr>
              <w:t>新增</w:t>
            </w:r>
          </w:p>
        </w:tc>
      </w:tr>
      <w:tr w14:paraId="49651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shd w:val="clear" w:color="auto" w:fill="auto"/>
            <w:noWrap/>
            <w:vAlign w:val="center"/>
          </w:tcPr>
          <w:p w14:paraId="29FB6E0A">
            <w:pPr>
              <w:jc w:val="center"/>
              <w:rPr>
                <w:rFonts w:ascii="宋体" w:hAnsi="宋体" w:cs="宋体"/>
                <w:color w:val="000000"/>
                <w:kern w:val="0"/>
                <w:szCs w:val="21"/>
              </w:rPr>
            </w:pPr>
            <w:r>
              <w:rPr>
                <w:rFonts w:hint="eastAsia" w:ascii="宋体" w:hAnsi="宋体" w:cs="宋体"/>
                <w:color w:val="000000"/>
                <w:kern w:val="0"/>
                <w:szCs w:val="21"/>
              </w:rPr>
              <w:t>2</w:t>
            </w:r>
          </w:p>
        </w:tc>
        <w:tc>
          <w:tcPr>
            <w:tcW w:w="766" w:type="pct"/>
            <w:vAlign w:val="center"/>
          </w:tcPr>
          <w:p w14:paraId="01FB57AF">
            <w:pPr>
              <w:jc w:val="center"/>
              <w:rPr>
                <w:rFonts w:ascii="宋体" w:hAnsi="宋体" w:cs="宋体"/>
                <w:color w:val="000000"/>
                <w:kern w:val="0"/>
                <w:szCs w:val="21"/>
              </w:rPr>
            </w:pPr>
            <w:r>
              <w:rPr>
                <w:rFonts w:hint="eastAsia" w:ascii="宋体" w:hAnsi="宋体" w:cs="宋体"/>
                <w:color w:val="000000"/>
                <w:kern w:val="0"/>
                <w:szCs w:val="21"/>
              </w:rPr>
              <w:t>/</w:t>
            </w:r>
          </w:p>
        </w:tc>
        <w:tc>
          <w:tcPr>
            <w:tcW w:w="997" w:type="pct"/>
            <w:vAlign w:val="center"/>
          </w:tcPr>
          <w:p w14:paraId="34E9C479">
            <w:pPr>
              <w:jc w:val="center"/>
            </w:pPr>
            <w:r>
              <w:rPr>
                <w:rFonts w:hint="eastAsia"/>
              </w:rPr>
              <w:t>炼乳</w:t>
            </w:r>
          </w:p>
        </w:tc>
        <w:tc>
          <w:tcPr>
            <w:tcW w:w="914" w:type="pct"/>
            <w:vAlign w:val="center"/>
          </w:tcPr>
          <w:p w14:paraId="077D21F6">
            <w:pPr>
              <w:jc w:val="center"/>
              <w:rPr>
                <w:rFonts w:ascii="宋体" w:hAnsi="宋体" w:cs="宋体"/>
                <w:color w:val="000000"/>
                <w:kern w:val="0"/>
                <w:szCs w:val="21"/>
              </w:rPr>
            </w:pPr>
            <w:r>
              <w:rPr>
                <w:rFonts w:hint="eastAsia" w:ascii="宋体" w:hAnsi="宋体" w:cs="宋体"/>
                <w:color w:val="000000"/>
                <w:kern w:val="0"/>
                <w:szCs w:val="21"/>
              </w:rPr>
              <w:t>/</w:t>
            </w:r>
          </w:p>
        </w:tc>
        <w:tc>
          <w:tcPr>
            <w:tcW w:w="1498" w:type="pct"/>
            <w:vAlign w:val="center"/>
          </w:tcPr>
          <w:p w14:paraId="4B071E83">
            <w:pPr>
              <w:jc w:val="center"/>
              <w:rPr>
                <w:rFonts w:ascii="宋体" w:hAnsi="宋体" w:cs="宋体"/>
                <w:color w:val="000000"/>
                <w:kern w:val="0"/>
                <w:szCs w:val="21"/>
              </w:rPr>
            </w:pPr>
            <w:r>
              <w:rPr>
                <w:rFonts w:hint="eastAsia" w:ascii="宋体" w:hAnsi="宋体" w:cs="宋体"/>
                <w:color w:val="000000"/>
                <w:kern w:val="0"/>
                <w:szCs w:val="21"/>
              </w:rPr>
              <w:t>C1449其他乳制品制造</w:t>
            </w:r>
          </w:p>
        </w:tc>
        <w:tc>
          <w:tcPr>
            <w:tcW w:w="446" w:type="pct"/>
            <w:vAlign w:val="center"/>
          </w:tcPr>
          <w:p w14:paraId="48EB2CF1">
            <w:pPr>
              <w:widowControl/>
              <w:jc w:val="center"/>
              <w:rPr>
                <w:rFonts w:ascii="宋体" w:hAnsi="宋体" w:cs="宋体"/>
                <w:color w:val="000000"/>
                <w:kern w:val="0"/>
                <w:szCs w:val="21"/>
              </w:rPr>
            </w:pPr>
            <w:r>
              <w:rPr>
                <w:rFonts w:hint="eastAsia" w:ascii="宋体" w:hAnsi="宋体" w:cs="宋体"/>
                <w:color w:val="000000"/>
                <w:kern w:val="0"/>
                <w:szCs w:val="21"/>
              </w:rPr>
              <w:t>新增</w:t>
            </w:r>
          </w:p>
        </w:tc>
      </w:tr>
      <w:tr w14:paraId="4D04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shd w:val="clear" w:color="auto" w:fill="auto"/>
            <w:noWrap/>
            <w:vAlign w:val="center"/>
          </w:tcPr>
          <w:p w14:paraId="095611CD">
            <w:pPr>
              <w:jc w:val="center"/>
              <w:rPr>
                <w:rFonts w:ascii="宋体" w:hAnsi="宋体" w:cs="宋体"/>
                <w:color w:val="000000"/>
                <w:kern w:val="0"/>
                <w:szCs w:val="21"/>
              </w:rPr>
            </w:pPr>
            <w:r>
              <w:rPr>
                <w:rFonts w:hint="eastAsia" w:ascii="宋体" w:hAnsi="宋体" w:cs="宋体"/>
                <w:color w:val="000000"/>
                <w:kern w:val="0"/>
                <w:szCs w:val="21"/>
              </w:rPr>
              <w:t>3</w:t>
            </w:r>
          </w:p>
        </w:tc>
        <w:tc>
          <w:tcPr>
            <w:tcW w:w="766" w:type="pct"/>
            <w:vAlign w:val="center"/>
          </w:tcPr>
          <w:p w14:paraId="5270AD85">
            <w:pPr>
              <w:tabs>
                <w:tab w:val="left" w:pos="480"/>
                <w:tab w:val="center" w:pos="546"/>
              </w:tabs>
              <w:jc w:val="center"/>
              <w:rPr>
                <w:rFonts w:ascii="宋体" w:hAnsi="宋体" w:cs="宋体"/>
                <w:color w:val="000000"/>
                <w:kern w:val="0"/>
                <w:szCs w:val="21"/>
              </w:rPr>
            </w:pPr>
            <w:r>
              <w:rPr>
                <w:rFonts w:hint="eastAsia" w:ascii="宋体" w:hAnsi="宋体" w:cs="宋体"/>
                <w:color w:val="000000"/>
                <w:kern w:val="0"/>
                <w:szCs w:val="21"/>
              </w:rPr>
              <w:t>/</w:t>
            </w:r>
          </w:p>
        </w:tc>
        <w:tc>
          <w:tcPr>
            <w:tcW w:w="997" w:type="pct"/>
            <w:vAlign w:val="center"/>
          </w:tcPr>
          <w:p w14:paraId="539B750B">
            <w:pPr>
              <w:jc w:val="center"/>
            </w:pPr>
            <w:r>
              <w:rPr>
                <w:rFonts w:hint="eastAsia"/>
              </w:rPr>
              <w:t>再制干酪</w:t>
            </w:r>
          </w:p>
        </w:tc>
        <w:tc>
          <w:tcPr>
            <w:tcW w:w="914" w:type="pct"/>
            <w:vAlign w:val="center"/>
          </w:tcPr>
          <w:p w14:paraId="1F830334">
            <w:pPr>
              <w:jc w:val="center"/>
              <w:rPr>
                <w:rFonts w:ascii="宋体" w:hAnsi="宋体" w:cs="宋体"/>
                <w:color w:val="000000"/>
                <w:kern w:val="0"/>
                <w:szCs w:val="21"/>
              </w:rPr>
            </w:pPr>
            <w:r>
              <w:rPr>
                <w:rFonts w:hint="eastAsia" w:ascii="宋体" w:hAnsi="宋体" w:cs="宋体"/>
                <w:color w:val="000000"/>
                <w:kern w:val="0"/>
                <w:szCs w:val="21"/>
              </w:rPr>
              <w:t>/</w:t>
            </w:r>
          </w:p>
        </w:tc>
        <w:tc>
          <w:tcPr>
            <w:tcW w:w="1498" w:type="pct"/>
            <w:vAlign w:val="center"/>
          </w:tcPr>
          <w:p w14:paraId="0D74E6B6">
            <w:pPr>
              <w:jc w:val="center"/>
              <w:rPr>
                <w:rFonts w:ascii="宋体" w:hAnsi="宋体" w:cs="宋体"/>
                <w:color w:val="000000"/>
                <w:kern w:val="0"/>
                <w:szCs w:val="21"/>
              </w:rPr>
            </w:pPr>
            <w:r>
              <w:rPr>
                <w:rFonts w:hint="eastAsia" w:ascii="宋体" w:hAnsi="宋体" w:cs="宋体"/>
                <w:color w:val="000000"/>
                <w:kern w:val="0"/>
                <w:szCs w:val="21"/>
              </w:rPr>
              <w:t>C1449其他乳制品制造</w:t>
            </w:r>
          </w:p>
        </w:tc>
        <w:tc>
          <w:tcPr>
            <w:tcW w:w="446" w:type="pct"/>
            <w:vAlign w:val="center"/>
          </w:tcPr>
          <w:p w14:paraId="2307736D">
            <w:pPr>
              <w:widowControl/>
              <w:jc w:val="center"/>
              <w:rPr>
                <w:rFonts w:ascii="宋体" w:hAnsi="宋体" w:cs="宋体"/>
                <w:color w:val="000000"/>
                <w:kern w:val="0"/>
                <w:szCs w:val="21"/>
              </w:rPr>
            </w:pPr>
            <w:r>
              <w:rPr>
                <w:rFonts w:hint="eastAsia" w:ascii="宋体" w:hAnsi="宋体" w:cs="宋体"/>
                <w:color w:val="000000"/>
                <w:kern w:val="0"/>
                <w:szCs w:val="21"/>
              </w:rPr>
              <w:t>新增</w:t>
            </w:r>
          </w:p>
        </w:tc>
      </w:tr>
      <w:tr w14:paraId="178E2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shd w:val="clear" w:color="auto" w:fill="auto"/>
            <w:noWrap/>
            <w:vAlign w:val="center"/>
          </w:tcPr>
          <w:p w14:paraId="3BCC902A">
            <w:pPr>
              <w:jc w:val="center"/>
              <w:rPr>
                <w:rFonts w:ascii="宋体" w:hAnsi="宋体" w:cs="宋体"/>
                <w:color w:val="000000"/>
                <w:kern w:val="0"/>
                <w:szCs w:val="21"/>
              </w:rPr>
            </w:pPr>
            <w:r>
              <w:rPr>
                <w:rFonts w:hint="eastAsia" w:ascii="宋体" w:hAnsi="宋体" w:cs="宋体"/>
                <w:color w:val="000000"/>
                <w:kern w:val="0"/>
                <w:szCs w:val="21"/>
              </w:rPr>
              <w:t>4</w:t>
            </w:r>
          </w:p>
        </w:tc>
        <w:tc>
          <w:tcPr>
            <w:tcW w:w="766" w:type="pct"/>
            <w:shd w:val="clear" w:color="auto" w:fill="auto"/>
            <w:vAlign w:val="center"/>
          </w:tcPr>
          <w:p w14:paraId="549C6E5B">
            <w:pPr>
              <w:jc w:val="center"/>
            </w:pPr>
            <w:r>
              <w:rPr>
                <w:rFonts w:hint="eastAsia" w:ascii="宋体" w:hAnsi="宋体" w:cs="宋体"/>
                <w:color w:val="000000"/>
                <w:kern w:val="0"/>
                <w:szCs w:val="21"/>
              </w:rPr>
              <w:t>/</w:t>
            </w:r>
          </w:p>
        </w:tc>
        <w:tc>
          <w:tcPr>
            <w:tcW w:w="997" w:type="pct"/>
            <w:vAlign w:val="center"/>
          </w:tcPr>
          <w:p w14:paraId="78E68E51">
            <w:pPr>
              <w:jc w:val="center"/>
            </w:pPr>
            <w:r>
              <w:rPr>
                <w:rFonts w:hint="eastAsia"/>
              </w:rPr>
              <w:t>棉印染产品</w:t>
            </w:r>
          </w:p>
        </w:tc>
        <w:tc>
          <w:tcPr>
            <w:tcW w:w="914" w:type="pct"/>
            <w:shd w:val="clear" w:color="auto" w:fill="auto"/>
            <w:vAlign w:val="center"/>
          </w:tcPr>
          <w:p w14:paraId="511372DE">
            <w:pPr>
              <w:jc w:val="center"/>
            </w:pPr>
            <w:r>
              <w:rPr>
                <w:rFonts w:hint="eastAsia" w:ascii="宋体" w:hAnsi="宋体" w:cs="宋体"/>
                <w:color w:val="000000"/>
                <w:kern w:val="0"/>
                <w:szCs w:val="21"/>
              </w:rPr>
              <w:t>/</w:t>
            </w:r>
          </w:p>
        </w:tc>
        <w:tc>
          <w:tcPr>
            <w:tcW w:w="1498" w:type="pct"/>
            <w:vAlign w:val="center"/>
          </w:tcPr>
          <w:p w14:paraId="5EB40E3A">
            <w:pPr>
              <w:jc w:val="center"/>
              <w:rPr>
                <w:rFonts w:ascii="宋体" w:hAnsi="宋体" w:cs="宋体"/>
                <w:color w:val="000000"/>
                <w:kern w:val="0"/>
                <w:szCs w:val="21"/>
              </w:rPr>
            </w:pPr>
            <w:r>
              <w:rPr>
                <w:rFonts w:hint="eastAsia" w:ascii="宋体" w:hAnsi="宋体" w:cs="宋体"/>
                <w:color w:val="000000"/>
                <w:kern w:val="0"/>
                <w:szCs w:val="21"/>
              </w:rPr>
              <w:t>C1713棉印染精加工</w:t>
            </w:r>
          </w:p>
        </w:tc>
        <w:tc>
          <w:tcPr>
            <w:tcW w:w="446" w:type="pct"/>
            <w:shd w:val="clear" w:color="auto" w:fill="auto"/>
            <w:vAlign w:val="center"/>
          </w:tcPr>
          <w:p w14:paraId="7EC1B062">
            <w:pPr>
              <w:widowControl/>
              <w:jc w:val="center"/>
              <w:rPr>
                <w:rFonts w:ascii="宋体" w:hAnsi="宋体" w:cs="宋体"/>
                <w:color w:val="000000"/>
                <w:kern w:val="0"/>
                <w:szCs w:val="21"/>
              </w:rPr>
            </w:pPr>
            <w:r>
              <w:rPr>
                <w:rFonts w:hint="eastAsia" w:ascii="宋体" w:hAnsi="宋体" w:cs="宋体"/>
                <w:color w:val="000000"/>
                <w:kern w:val="0"/>
                <w:szCs w:val="21"/>
              </w:rPr>
              <w:t>新增</w:t>
            </w:r>
          </w:p>
        </w:tc>
      </w:tr>
      <w:tr w14:paraId="735ED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shd w:val="clear" w:color="auto" w:fill="auto"/>
            <w:noWrap/>
            <w:vAlign w:val="center"/>
          </w:tcPr>
          <w:p w14:paraId="068E595E">
            <w:pPr>
              <w:jc w:val="center"/>
              <w:rPr>
                <w:rFonts w:ascii="宋体" w:hAnsi="宋体" w:cs="宋体"/>
                <w:color w:val="000000"/>
                <w:kern w:val="0"/>
                <w:szCs w:val="21"/>
              </w:rPr>
            </w:pPr>
            <w:r>
              <w:rPr>
                <w:rFonts w:hint="eastAsia" w:ascii="宋体" w:hAnsi="宋体" w:cs="宋体"/>
                <w:color w:val="000000"/>
                <w:kern w:val="0"/>
                <w:szCs w:val="21"/>
              </w:rPr>
              <w:t>5</w:t>
            </w:r>
          </w:p>
        </w:tc>
        <w:tc>
          <w:tcPr>
            <w:tcW w:w="766" w:type="pct"/>
            <w:shd w:val="clear" w:color="auto" w:fill="auto"/>
            <w:vAlign w:val="center"/>
          </w:tcPr>
          <w:p w14:paraId="5144E1E6">
            <w:pPr>
              <w:jc w:val="center"/>
              <w:rPr>
                <w:rFonts w:ascii="宋体" w:hAnsi="宋体" w:cs="宋体"/>
                <w:color w:val="000000"/>
                <w:kern w:val="0"/>
                <w:szCs w:val="21"/>
              </w:rPr>
            </w:pPr>
            <w:r>
              <w:rPr>
                <w:rFonts w:hint="eastAsia" w:ascii="宋体" w:hAnsi="宋体" w:cs="宋体"/>
                <w:color w:val="000000"/>
                <w:kern w:val="0"/>
                <w:szCs w:val="21"/>
              </w:rPr>
              <w:t>/</w:t>
            </w:r>
          </w:p>
        </w:tc>
        <w:tc>
          <w:tcPr>
            <w:tcW w:w="997" w:type="pct"/>
            <w:vAlign w:val="center"/>
          </w:tcPr>
          <w:p w14:paraId="6224B16C">
            <w:pPr>
              <w:jc w:val="center"/>
            </w:pPr>
            <w:r>
              <w:rPr>
                <w:rFonts w:hint="eastAsia"/>
              </w:rPr>
              <w:t>化纤印染产品</w:t>
            </w:r>
          </w:p>
        </w:tc>
        <w:tc>
          <w:tcPr>
            <w:tcW w:w="914" w:type="pct"/>
            <w:shd w:val="clear" w:color="auto" w:fill="auto"/>
            <w:vAlign w:val="center"/>
          </w:tcPr>
          <w:p w14:paraId="17ECF1C5">
            <w:pPr>
              <w:jc w:val="center"/>
              <w:rPr>
                <w:rFonts w:ascii="宋体" w:hAnsi="宋体" w:cs="宋体"/>
                <w:color w:val="000000"/>
                <w:kern w:val="0"/>
                <w:szCs w:val="21"/>
              </w:rPr>
            </w:pPr>
            <w:r>
              <w:rPr>
                <w:rFonts w:hint="eastAsia" w:ascii="宋体" w:hAnsi="宋体" w:cs="宋体"/>
                <w:color w:val="000000"/>
                <w:kern w:val="0"/>
                <w:szCs w:val="21"/>
              </w:rPr>
              <w:t>/</w:t>
            </w:r>
          </w:p>
        </w:tc>
        <w:tc>
          <w:tcPr>
            <w:tcW w:w="1498" w:type="pct"/>
            <w:vAlign w:val="center"/>
          </w:tcPr>
          <w:p w14:paraId="57C22647">
            <w:pPr>
              <w:jc w:val="center"/>
              <w:rPr>
                <w:rFonts w:ascii="宋体" w:hAnsi="宋体" w:cs="宋体"/>
                <w:color w:val="000000"/>
                <w:kern w:val="0"/>
                <w:szCs w:val="21"/>
              </w:rPr>
            </w:pPr>
            <w:r>
              <w:rPr>
                <w:rFonts w:hint="eastAsia" w:ascii="宋体" w:hAnsi="宋体" w:cs="宋体"/>
                <w:color w:val="000000"/>
                <w:kern w:val="0"/>
                <w:szCs w:val="21"/>
              </w:rPr>
              <w:t>C1713棉印染精加工</w:t>
            </w:r>
          </w:p>
        </w:tc>
        <w:tc>
          <w:tcPr>
            <w:tcW w:w="446" w:type="pct"/>
            <w:shd w:val="clear" w:color="auto" w:fill="auto"/>
            <w:vAlign w:val="center"/>
          </w:tcPr>
          <w:p w14:paraId="76AD9DCB">
            <w:pPr>
              <w:widowControl/>
              <w:jc w:val="center"/>
              <w:rPr>
                <w:rFonts w:ascii="宋体" w:hAnsi="宋体" w:cs="宋体"/>
                <w:color w:val="000000"/>
                <w:kern w:val="0"/>
                <w:szCs w:val="21"/>
              </w:rPr>
            </w:pPr>
            <w:r>
              <w:rPr>
                <w:rFonts w:hint="eastAsia" w:ascii="宋体" w:hAnsi="宋体" w:cs="宋体"/>
                <w:color w:val="000000"/>
                <w:kern w:val="0"/>
                <w:szCs w:val="21"/>
              </w:rPr>
              <w:t>新增</w:t>
            </w:r>
          </w:p>
        </w:tc>
      </w:tr>
      <w:tr w14:paraId="62E0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shd w:val="clear" w:color="auto" w:fill="auto"/>
            <w:noWrap/>
            <w:vAlign w:val="center"/>
          </w:tcPr>
          <w:p w14:paraId="2BAA1652">
            <w:pPr>
              <w:jc w:val="center"/>
              <w:rPr>
                <w:rFonts w:ascii="宋体" w:hAnsi="宋体" w:cs="宋体"/>
                <w:color w:val="000000"/>
                <w:kern w:val="0"/>
                <w:szCs w:val="21"/>
              </w:rPr>
            </w:pPr>
            <w:r>
              <w:rPr>
                <w:rFonts w:hint="eastAsia" w:ascii="宋体" w:hAnsi="宋体" w:cs="宋体"/>
                <w:color w:val="000000"/>
                <w:kern w:val="0"/>
                <w:szCs w:val="21"/>
              </w:rPr>
              <w:t>6</w:t>
            </w:r>
          </w:p>
        </w:tc>
        <w:tc>
          <w:tcPr>
            <w:tcW w:w="766" w:type="pct"/>
            <w:shd w:val="clear" w:color="auto" w:fill="auto"/>
            <w:vAlign w:val="center"/>
          </w:tcPr>
          <w:p w14:paraId="08AFAB1C">
            <w:pPr>
              <w:tabs>
                <w:tab w:val="left" w:pos="480"/>
                <w:tab w:val="center" w:pos="546"/>
              </w:tabs>
              <w:jc w:val="center"/>
              <w:rPr>
                <w:rFonts w:ascii="宋体" w:hAnsi="宋体" w:cs="宋体"/>
                <w:color w:val="000000"/>
                <w:kern w:val="0"/>
                <w:szCs w:val="21"/>
              </w:rPr>
            </w:pPr>
            <w:r>
              <w:rPr>
                <w:rFonts w:hint="eastAsia" w:ascii="宋体" w:hAnsi="宋体" w:cs="宋体"/>
                <w:color w:val="000000"/>
                <w:kern w:val="0"/>
                <w:szCs w:val="21"/>
              </w:rPr>
              <w:t>/</w:t>
            </w:r>
          </w:p>
        </w:tc>
        <w:tc>
          <w:tcPr>
            <w:tcW w:w="997" w:type="pct"/>
            <w:vAlign w:val="center"/>
          </w:tcPr>
          <w:p w14:paraId="3428CE20">
            <w:pPr>
              <w:jc w:val="center"/>
            </w:pPr>
            <w:r>
              <w:rPr>
                <w:rFonts w:hint="eastAsia"/>
              </w:rPr>
              <w:t>棉、化纤混纺印染产品</w:t>
            </w:r>
          </w:p>
        </w:tc>
        <w:tc>
          <w:tcPr>
            <w:tcW w:w="914" w:type="pct"/>
            <w:shd w:val="clear" w:color="auto" w:fill="auto"/>
            <w:vAlign w:val="center"/>
          </w:tcPr>
          <w:p w14:paraId="1735F8A5">
            <w:pPr>
              <w:jc w:val="center"/>
              <w:rPr>
                <w:rFonts w:ascii="宋体" w:hAnsi="宋体" w:cs="宋体"/>
                <w:color w:val="000000"/>
                <w:kern w:val="0"/>
                <w:szCs w:val="21"/>
              </w:rPr>
            </w:pPr>
            <w:r>
              <w:rPr>
                <w:rFonts w:hint="eastAsia" w:ascii="宋体" w:hAnsi="宋体" w:cs="宋体"/>
                <w:color w:val="000000"/>
                <w:kern w:val="0"/>
                <w:szCs w:val="21"/>
              </w:rPr>
              <w:t>/</w:t>
            </w:r>
          </w:p>
        </w:tc>
        <w:tc>
          <w:tcPr>
            <w:tcW w:w="1498" w:type="pct"/>
            <w:vAlign w:val="center"/>
          </w:tcPr>
          <w:p w14:paraId="1D8A1BFD">
            <w:pPr>
              <w:jc w:val="center"/>
              <w:rPr>
                <w:rFonts w:ascii="宋体" w:hAnsi="宋体" w:cs="宋体"/>
                <w:color w:val="000000"/>
                <w:kern w:val="0"/>
                <w:szCs w:val="21"/>
              </w:rPr>
            </w:pPr>
            <w:r>
              <w:rPr>
                <w:rFonts w:hint="eastAsia" w:ascii="宋体" w:hAnsi="宋体" w:cs="宋体"/>
                <w:color w:val="000000"/>
                <w:kern w:val="0"/>
                <w:szCs w:val="21"/>
              </w:rPr>
              <w:t>C1713棉印染精加工</w:t>
            </w:r>
          </w:p>
        </w:tc>
        <w:tc>
          <w:tcPr>
            <w:tcW w:w="446" w:type="pct"/>
            <w:shd w:val="clear" w:color="auto" w:fill="auto"/>
            <w:vAlign w:val="center"/>
          </w:tcPr>
          <w:p w14:paraId="5280FABF">
            <w:pPr>
              <w:widowControl/>
              <w:jc w:val="center"/>
              <w:rPr>
                <w:rFonts w:ascii="宋体" w:hAnsi="宋体" w:cs="宋体"/>
                <w:color w:val="000000"/>
                <w:kern w:val="0"/>
                <w:szCs w:val="21"/>
              </w:rPr>
            </w:pPr>
            <w:r>
              <w:rPr>
                <w:rFonts w:hint="eastAsia" w:ascii="宋体" w:hAnsi="宋体" w:cs="宋体"/>
                <w:color w:val="000000"/>
                <w:kern w:val="0"/>
                <w:szCs w:val="21"/>
              </w:rPr>
              <w:t>新增</w:t>
            </w:r>
          </w:p>
        </w:tc>
      </w:tr>
      <w:tr w14:paraId="1EF6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shd w:val="clear" w:color="auto" w:fill="auto"/>
            <w:noWrap/>
            <w:vAlign w:val="center"/>
          </w:tcPr>
          <w:p w14:paraId="52499D94">
            <w:pPr>
              <w:jc w:val="center"/>
              <w:rPr>
                <w:rFonts w:ascii="宋体" w:hAnsi="宋体" w:cs="宋体"/>
                <w:color w:val="000000"/>
                <w:kern w:val="0"/>
                <w:szCs w:val="21"/>
              </w:rPr>
            </w:pPr>
            <w:r>
              <w:rPr>
                <w:rFonts w:hint="eastAsia" w:ascii="宋体" w:hAnsi="宋体" w:cs="宋体"/>
                <w:color w:val="000000"/>
                <w:kern w:val="0"/>
                <w:szCs w:val="21"/>
              </w:rPr>
              <w:t>7</w:t>
            </w:r>
          </w:p>
        </w:tc>
        <w:tc>
          <w:tcPr>
            <w:tcW w:w="766" w:type="pct"/>
            <w:shd w:val="clear" w:color="auto" w:fill="auto"/>
            <w:vAlign w:val="center"/>
          </w:tcPr>
          <w:p w14:paraId="17612D35">
            <w:pPr>
              <w:tabs>
                <w:tab w:val="left" w:pos="480"/>
                <w:tab w:val="center" w:pos="546"/>
              </w:tabs>
              <w:jc w:val="center"/>
              <w:rPr>
                <w:rFonts w:ascii="宋体" w:hAnsi="宋体" w:cs="宋体"/>
                <w:color w:val="000000"/>
                <w:kern w:val="0"/>
                <w:szCs w:val="21"/>
              </w:rPr>
            </w:pPr>
            <w:r>
              <w:rPr>
                <w:rFonts w:hint="eastAsia" w:ascii="宋体" w:hAnsi="宋体" w:cs="宋体"/>
                <w:color w:val="000000"/>
                <w:kern w:val="0"/>
                <w:szCs w:val="21"/>
              </w:rPr>
              <w:t>/</w:t>
            </w:r>
          </w:p>
        </w:tc>
        <w:tc>
          <w:tcPr>
            <w:tcW w:w="997" w:type="pct"/>
            <w:vAlign w:val="center"/>
          </w:tcPr>
          <w:p w14:paraId="0B810192">
            <w:pPr>
              <w:jc w:val="center"/>
            </w:pPr>
            <w:r>
              <w:rPr>
                <w:rFonts w:hint="eastAsia"/>
              </w:rPr>
              <w:t>化学处理毛条</w:t>
            </w:r>
          </w:p>
        </w:tc>
        <w:tc>
          <w:tcPr>
            <w:tcW w:w="914" w:type="pct"/>
            <w:shd w:val="clear" w:color="auto" w:fill="auto"/>
            <w:vAlign w:val="center"/>
          </w:tcPr>
          <w:p w14:paraId="246B7442">
            <w:pPr>
              <w:tabs>
                <w:tab w:val="left" w:pos="480"/>
                <w:tab w:val="center" w:pos="546"/>
              </w:tabs>
              <w:jc w:val="center"/>
              <w:rPr>
                <w:rFonts w:ascii="宋体" w:hAnsi="宋体" w:cs="宋体"/>
                <w:color w:val="000000"/>
                <w:kern w:val="0"/>
                <w:szCs w:val="21"/>
              </w:rPr>
            </w:pPr>
            <w:r>
              <w:rPr>
                <w:rFonts w:hint="eastAsia" w:ascii="宋体" w:hAnsi="宋体" w:cs="宋体"/>
                <w:color w:val="000000"/>
                <w:kern w:val="0"/>
                <w:szCs w:val="21"/>
              </w:rPr>
              <w:t>/</w:t>
            </w:r>
          </w:p>
        </w:tc>
        <w:tc>
          <w:tcPr>
            <w:tcW w:w="1498" w:type="pct"/>
            <w:vAlign w:val="center"/>
          </w:tcPr>
          <w:p w14:paraId="0D948FD5">
            <w:pPr>
              <w:jc w:val="center"/>
              <w:rPr>
                <w:rFonts w:ascii="宋体" w:hAnsi="宋体" w:cs="宋体"/>
                <w:color w:val="000000"/>
                <w:kern w:val="0"/>
                <w:szCs w:val="21"/>
              </w:rPr>
            </w:pPr>
            <w:r>
              <w:rPr>
                <w:rFonts w:hint="eastAsia" w:ascii="宋体" w:hAnsi="宋体" w:cs="宋体"/>
                <w:color w:val="000000"/>
                <w:kern w:val="0"/>
                <w:szCs w:val="21"/>
              </w:rPr>
              <w:t>C1721毛条和毛纱线加工</w:t>
            </w:r>
          </w:p>
        </w:tc>
        <w:tc>
          <w:tcPr>
            <w:tcW w:w="446" w:type="pct"/>
            <w:shd w:val="clear" w:color="auto" w:fill="auto"/>
            <w:vAlign w:val="center"/>
          </w:tcPr>
          <w:p w14:paraId="11A80C67">
            <w:pPr>
              <w:widowControl/>
              <w:jc w:val="center"/>
              <w:rPr>
                <w:rFonts w:ascii="宋体" w:hAnsi="宋体" w:cs="宋体"/>
                <w:color w:val="000000"/>
                <w:kern w:val="0"/>
                <w:szCs w:val="21"/>
              </w:rPr>
            </w:pPr>
            <w:r>
              <w:rPr>
                <w:rFonts w:hint="eastAsia" w:ascii="宋体" w:hAnsi="宋体" w:cs="宋体"/>
                <w:color w:val="000000"/>
                <w:kern w:val="0"/>
                <w:szCs w:val="21"/>
              </w:rPr>
              <w:t>新增</w:t>
            </w:r>
          </w:p>
        </w:tc>
      </w:tr>
      <w:tr w14:paraId="63F30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shd w:val="clear" w:color="auto" w:fill="auto"/>
            <w:noWrap/>
            <w:vAlign w:val="center"/>
          </w:tcPr>
          <w:p w14:paraId="1128D61B">
            <w:pPr>
              <w:jc w:val="center"/>
              <w:rPr>
                <w:rFonts w:ascii="宋体" w:hAnsi="宋体" w:cs="宋体"/>
                <w:color w:val="000000"/>
                <w:kern w:val="0"/>
                <w:szCs w:val="21"/>
              </w:rPr>
            </w:pPr>
            <w:r>
              <w:rPr>
                <w:rFonts w:hint="eastAsia" w:ascii="宋体" w:hAnsi="宋体" w:cs="宋体"/>
                <w:color w:val="000000"/>
                <w:kern w:val="0"/>
                <w:szCs w:val="21"/>
              </w:rPr>
              <w:t>8</w:t>
            </w:r>
          </w:p>
        </w:tc>
        <w:tc>
          <w:tcPr>
            <w:tcW w:w="766" w:type="pct"/>
            <w:shd w:val="clear" w:color="auto" w:fill="auto"/>
            <w:vAlign w:val="center"/>
          </w:tcPr>
          <w:p w14:paraId="333B7883">
            <w:pPr>
              <w:jc w:val="center"/>
            </w:pPr>
            <w:r>
              <w:rPr>
                <w:rFonts w:hint="eastAsia" w:ascii="宋体" w:hAnsi="宋体" w:cs="宋体"/>
                <w:color w:val="000000"/>
                <w:kern w:val="0"/>
                <w:szCs w:val="21"/>
              </w:rPr>
              <w:t>/</w:t>
            </w:r>
          </w:p>
        </w:tc>
        <w:tc>
          <w:tcPr>
            <w:tcW w:w="997" w:type="pct"/>
            <w:vAlign w:val="center"/>
          </w:tcPr>
          <w:p w14:paraId="0B7F8B09">
            <w:pPr>
              <w:jc w:val="center"/>
            </w:pPr>
            <w:r>
              <w:rPr>
                <w:rFonts w:hint="eastAsia"/>
              </w:rPr>
              <w:t>精梳毛纱</w:t>
            </w:r>
          </w:p>
        </w:tc>
        <w:tc>
          <w:tcPr>
            <w:tcW w:w="914" w:type="pct"/>
            <w:shd w:val="clear" w:color="auto" w:fill="auto"/>
            <w:vAlign w:val="center"/>
          </w:tcPr>
          <w:p w14:paraId="1EF0D3A0">
            <w:pPr>
              <w:jc w:val="center"/>
            </w:pPr>
            <w:r>
              <w:rPr>
                <w:rFonts w:hint="eastAsia" w:ascii="宋体" w:hAnsi="宋体" w:cs="宋体"/>
                <w:color w:val="000000"/>
                <w:kern w:val="0"/>
                <w:szCs w:val="21"/>
              </w:rPr>
              <w:t>/</w:t>
            </w:r>
          </w:p>
        </w:tc>
        <w:tc>
          <w:tcPr>
            <w:tcW w:w="1498" w:type="pct"/>
            <w:shd w:val="clear" w:color="auto" w:fill="auto"/>
            <w:vAlign w:val="center"/>
          </w:tcPr>
          <w:p w14:paraId="2C02F005">
            <w:pPr>
              <w:jc w:val="center"/>
              <w:rPr>
                <w:rFonts w:ascii="宋体" w:hAnsi="宋体" w:cs="宋体"/>
                <w:color w:val="000000"/>
                <w:kern w:val="0"/>
                <w:szCs w:val="21"/>
              </w:rPr>
            </w:pPr>
            <w:r>
              <w:rPr>
                <w:rFonts w:hint="eastAsia" w:ascii="宋体" w:hAnsi="宋体" w:cs="宋体"/>
                <w:color w:val="000000"/>
                <w:kern w:val="0"/>
                <w:szCs w:val="21"/>
              </w:rPr>
              <w:t>C1721毛条和毛纱线加工</w:t>
            </w:r>
          </w:p>
        </w:tc>
        <w:tc>
          <w:tcPr>
            <w:tcW w:w="446" w:type="pct"/>
            <w:shd w:val="clear" w:color="auto" w:fill="auto"/>
            <w:vAlign w:val="center"/>
          </w:tcPr>
          <w:p w14:paraId="74CF0D96">
            <w:pPr>
              <w:widowControl/>
              <w:jc w:val="center"/>
              <w:rPr>
                <w:rFonts w:ascii="宋体" w:hAnsi="宋体" w:cs="宋体"/>
                <w:color w:val="000000"/>
                <w:kern w:val="0"/>
                <w:szCs w:val="21"/>
              </w:rPr>
            </w:pPr>
            <w:r>
              <w:rPr>
                <w:rFonts w:hint="eastAsia" w:ascii="宋体" w:hAnsi="宋体" w:cs="宋体"/>
                <w:color w:val="000000"/>
                <w:kern w:val="0"/>
                <w:szCs w:val="21"/>
              </w:rPr>
              <w:t>新增</w:t>
            </w:r>
          </w:p>
        </w:tc>
      </w:tr>
      <w:tr w14:paraId="1CDD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shd w:val="clear" w:color="auto" w:fill="auto"/>
            <w:noWrap/>
            <w:vAlign w:val="center"/>
          </w:tcPr>
          <w:p w14:paraId="5CFA26FC">
            <w:pPr>
              <w:jc w:val="center"/>
              <w:rPr>
                <w:rFonts w:ascii="宋体" w:hAnsi="宋体" w:cs="宋体"/>
                <w:color w:val="000000"/>
                <w:kern w:val="0"/>
                <w:szCs w:val="21"/>
              </w:rPr>
            </w:pPr>
            <w:r>
              <w:rPr>
                <w:rFonts w:hint="eastAsia" w:ascii="宋体" w:hAnsi="宋体" w:cs="宋体"/>
                <w:color w:val="000000"/>
                <w:kern w:val="0"/>
                <w:szCs w:val="21"/>
              </w:rPr>
              <w:t>9</w:t>
            </w:r>
          </w:p>
        </w:tc>
        <w:tc>
          <w:tcPr>
            <w:tcW w:w="766" w:type="pct"/>
            <w:shd w:val="clear" w:color="auto" w:fill="auto"/>
            <w:vAlign w:val="center"/>
          </w:tcPr>
          <w:p w14:paraId="3AF1C198">
            <w:pPr>
              <w:jc w:val="center"/>
              <w:rPr>
                <w:rFonts w:ascii="宋体" w:hAnsi="宋体" w:cs="宋体"/>
                <w:color w:val="000000"/>
                <w:kern w:val="0"/>
                <w:szCs w:val="21"/>
              </w:rPr>
            </w:pPr>
            <w:r>
              <w:rPr>
                <w:rFonts w:hint="eastAsia" w:ascii="宋体" w:hAnsi="宋体" w:cs="宋体"/>
                <w:color w:val="000000"/>
                <w:kern w:val="0"/>
                <w:szCs w:val="21"/>
              </w:rPr>
              <w:t>/</w:t>
            </w:r>
          </w:p>
        </w:tc>
        <w:tc>
          <w:tcPr>
            <w:tcW w:w="997" w:type="pct"/>
            <w:vAlign w:val="center"/>
          </w:tcPr>
          <w:p w14:paraId="6DA76769">
            <w:pPr>
              <w:jc w:val="center"/>
            </w:pPr>
            <w:r>
              <w:rPr>
                <w:rFonts w:hint="eastAsia"/>
              </w:rPr>
              <w:t>粗疏（半精梳）毛纱</w:t>
            </w:r>
          </w:p>
        </w:tc>
        <w:tc>
          <w:tcPr>
            <w:tcW w:w="914" w:type="pct"/>
            <w:shd w:val="clear" w:color="auto" w:fill="auto"/>
            <w:vAlign w:val="center"/>
          </w:tcPr>
          <w:p w14:paraId="4B382278">
            <w:pPr>
              <w:jc w:val="center"/>
              <w:rPr>
                <w:rFonts w:ascii="宋体" w:hAnsi="宋体" w:cs="宋体"/>
                <w:color w:val="000000"/>
                <w:kern w:val="0"/>
                <w:szCs w:val="21"/>
              </w:rPr>
            </w:pPr>
            <w:r>
              <w:rPr>
                <w:rFonts w:hint="eastAsia" w:ascii="宋体" w:hAnsi="宋体" w:cs="宋体"/>
                <w:color w:val="000000"/>
                <w:kern w:val="0"/>
                <w:szCs w:val="21"/>
              </w:rPr>
              <w:t>/</w:t>
            </w:r>
          </w:p>
        </w:tc>
        <w:tc>
          <w:tcPr>
            <w:tcW w:w="1498" w:type="pct"/>
            <w:shd w:val="clear" w:color="auto" w:fill="auto"/>
            <w:vAlign w:val="center"/>
          </w:tcPr>
          <w:p w14:paraId="53CA3DCC">
            <w:pPr>
              <w:jc w:val="center"/>
              <w:rPr>
                <w:rFonts w:ascii="宋体" w:hAnsi="宋体" w:cs="宋体"/>
                <w:color w:val="000000"/>
                <w:kern w:val="0"/>
                <w:szCs w:val="21"/>
              </w:rPr>
            </w:pPr>
            <w:r>
              <w:rPr>
                <w:rFonts w:hint="eastAsia" w:ascii="宋体" w:hAnsi="宋体" w:cs="宋体"/>
                <w:color w:val="000000"/>
                <w:kern w:val="0"/>
                <w:szCs w:val="21"/>
              </w:rPr>
              <w:t>C1721毛条和毛纱线加工</w:t>
            </w:r>
          </w:p>
        </w:tc>
        <w:tc>
          <w:tcPr>
            <w:tcW w:w="446" w:type="pct"/>
            <w:shd w:val="clear" w:color="auto" w:fill="auto"/>
            <w:vAlign w:val="center"/>
          </w:tcPr>
          <w:p w14:paraId="068CC376">
            <w:pPr>
              <w:widowControl/>
              <w:jc w:val="center"/>
              <w:rPr>
                <w:rFonts w:ascii="宋体" w:hAnsi="宋体" w:cs="宋体"/>
                <w:color w:val="000000"/>
                <w:kern w:val="0"/>
                <w:szCs w:val="21"/>
              </w:rPr>
            </w:pPr>
            <w:r>
              <w:rPr>
                <w:rFonts w:hint="eastAsia" w:ascii="宋体" w:hAnsi="宋体" w:cs="宋体"/>
                <w:color w:val="000000"/>
                <w:kern w:val="0"/>
                <w:szCs w:val="21"/>
              </w:rPr>
              <w:t>新增</w:t>
            </w:r>
          </w:p>
        </w:tc>
      </w:tr>
      <w:tr w14:paraId="49BE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shd w:val="clear" w:color="auto" w:fill="auto"/>
            <w:noWrap/>
            <w:vAlign w:val="center"/>
          </w:tcPr>
          <w:p w14:paraId="3BEB7AED">
            <w:pPr>
              <w:jc w:val="center"/>
              <w:rPr>
                <w:rFonts w:ascii="宋体" w:hAnsi="宋体" w:cs="宋体"/>
                <w:color w:val="000000"/>
                <w:kern w:val="0"/>
                <w:szCs w:val="21"/>
              </w:rPr>
            </w:pPr>
            <w:r>
              <w:rPr>
                <w:rFonts w:hint="eastAsia" w:ascii="宋体" w:hAnsi="宋体" w:cs="宋体"/>
                <w:color w:val="000000"/>
                <w:kern w:val="0"/>
                <w:szCs w:val="21"/>
              </w:rPr>
              <w:t>10</w:t>
            </w:r>
          </w:p>
        </w:tc>
        <w:tc>
          <w:tcPr>
            <w:tcW w:w="766" w:type="pct"/>
            <w:shd w:val="clear" w:color="auto" w:fill="auto"/>
            <w:vAlign w:val="center"/>
          </w:tcPr>
          <w:p w14:paraId="402039F1">
            <w:pPr>
              <w:tabs>
                <w:tab w:val="left" w:pos="480"/>
                <w:tab w:val="center" w:pos="546"/>
              </w:tabs>
              <w:jc w:val="center"/>
              <w:rPr>
                <w:rFonts w:ascii="宋体" w:hAnsi="宋体" w:cs="宋体"/>
                <w:color w:val="000000"/>
                <w:kern w:val="0"/>
                <w:szCs w:val="21"/>
              </w:rPr>
            </w:pPr>
            <w:r>
              <w:rPr>
                <w:rFonts w:hint="eastAsia" w:ascii="宋体" w:hAnsi="宋体" w:cs="宋体"/>
                <w:color w:val="000000"/>
                <w:kern w:val="0"/>
                <w:szCs w:val="21"/>
              </w:rPr>
              <w:t>/</w:t>
            </w:r>
          </w:p>
        </w:tc>
        <w:tc>
          <w:tcPr>
            <w:tcW w:w="997" w:type="pct"/>
            <w:vAlign w:val="center"/>
          </w:tcPr>
          <w:p w14:paraId="528D7E7E">
            <w:pPr>
              <w:jc w:val="center"/>
            </w:pPr>
            <w:r>
              <w:rPr>
                <w:rFonts w:hint="eastAsia"/>
              </w:rPr>
              <w:t>分梳绒</w:t>
            </w:r>
          </w:p>
        </w:tc>
        <w:tc>
          <w:tcPr>
            <w:tcW w:w="914" w:type="pct"/>
            <w:shd w:val="clear" w:color="auto" w:fill="auto"/>
            <w:vAlign w:val="center"/>
          </w:tcPr>
          <w:p w14:paraId="64FE35D4">
            <w:pPr>
              <w:tabs>
                <w:tab w:val="left" w:pos="480"/>
                <w:tab w:val="center" w:pos="546"/>
              </w:tabs>
              <w:jc w:val="center"/>
              <w:rPr>
                <w:rFonts w:ascii="宋体" w:hAnsi="宋体" w:cs="宋体"/>
                <w:color w:val="000000"/>
                <w:kern w:val="0"/>
                <w:szCs w:val="21"/>
              </w:rPr>
            </w:pPr>
            <w:r>
              <w:rPr>
                <w:rFonts w:hint="eastAsia" w:ascii="宋体" w:hAnsi="宋体" w:cs="宋体"/>
                <w:color w:val="000000"/>
                <w:kern w:val="0"/>
                <w:szCs w:val="21"/>
              </w:rPr>
              <w:t>/</w:t>
            </w:r>
          </w:p>
        </w:tc>
        <w:tc>
          <w:tcPr>
            <w:tcW w:w="1498" w:type="pct"/>
            <w:vAlign w:val="center"/>
          </w:tcPr>
          <w:p w14:paraId="374DDA29">
            <w:pPr>
              <w:jc w:val="center"/>
              <w:rPr>
                <w:rFonts w:ascii="宋体" w:hAnsi="宋体" w:cs="宋体"/>
                <w:color w:val="000000"/>
                <w:kern w:val="0"/>
                <w:szCs w:val="21"/>
              </w:rPr>
            </w:pPr>
            <w:r>
              <w:rPr>
                <w:rFonts w:hint="eastAsia" w:ascii="宋体" w:hAnsi="宋体" w:cs="宋体"/>
                <w:color w:val="000000"/>
                <w:kern w:val="0"/>
                <w:szCs w:val="21"/>
              </w:rPr>
              <w:t>C1721毛织造加工</w:t>
            </w:r>
          </w:p>
        </w:tc>
        <w:tc>
          <w:tcPr>
            <w:tcW w:w="446" w:type="pct"/>
            <w:shd w:val="clear" w:color="auto" w:fill="auto"/>
            <w:vAlign w:val="center"/>
          </w:tcPr>
          <w:p w14:paraId="64FA5625">
            <w:pPr>
              <w:widowControl/>
              <w:jc w:val="center"/>
              <w:rPr>
                <w:rFonts w:ascii="宋体" w:hAnsi="宋体" w:cs="宋体"/>
                <w:color w:val="000000"/>
                <w:kern w:val="0"/>
                <w:szCs w:val="21"/>
              </w:rPr>
            </w:pPr>
            <w:r>
              <w:rPr>
                <w:rFonts w:hint="eastAsia" w:ascii="宋体" w:hAnsi="宋体" w:cs="宋体"/>
                <w:color w:val="000000"/>
                <w:kern w:val="0"/>
                <w:szCs w:val="21"/>
              </w:rPr>
              <w:t>新增</w:t>
            </w:r>
          </w:p>
        </w:tc>
      </w:tr>
      <w:tr w14:paraId="5C44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shd w:val="clear" w:color="auto" w:fill="auto"/>
            <w:noWrap/>
            <w:vAlign w:val="center"/>
          </w:tcPr>
          <w:p w14:paraId="3F4D2E33">
            <w:pPr>
              <w:jc w:val="center"/>
              <w:rPr>
                <w:rFonts w:ascii="宋体" w:hAnsi="宋体" w:cs="宋体"/>
                <w:color w:val="000000"/>
                <w:kern w:val="0"/>
                <w:szCs w:val="21"/>
              </w:rPr>
            </w:pPr>
            <w:r>
              <w:rPr>
                <w:rFonts w:hint="eastAsia" w:ascii="宋体" w:hAnsi="宋体" w:cs="宋体"/>
                <w:color w:val="000000"/>
                <w:kern w:val="0"/>
                <w:szCs w:val="21"/>
              </w:rPr>
              <w:t>11</w:t>
            </w:r>
          </w:p>
        </w:tc>
        <w:tc>
          <w:tcPr>
            <w:tcW w:w="766" w:type="pct"/>
            <w:vAlign w:val="center"/>
          </w:tcPr>
          <w:p w14:paraId="27493885">
            <w:pPr>
              <w:jc w:val="center"/>
              <w:rPr>
                <w:rFonts w:ascii="宋体" w:hAnsi="宋体" w:cs="宋体"/>
                <w:color w:val="000000"/>
                <w:kern w:val="0"/>
                <w:szCs w:val="21"/>
              </w:rPr>
            </w:pPr>
            <w:r>
              <w:rPr>
                <w:rFonts w:hint="eastAsia" w:ascii="宋体" w:hAnsi="宋体" w:cs="宋体"/>
                <w:color w:val="000000"/>
                <w:kern w:val="0"/>
                <w:szCs w:val="21"/>
              </w:rPr>
              <w:t>/</w:t>
            </w:r>
          </w:p>
        </w:tc>
        <w:tc>
          <w:tcPr>
            <w:tcW w:w="997" w:type="pct"/>
            <w:vAlign w:val="center"/>
          </w:tcPr>
          <w:p w14:paraId="66ADFE89">
            <w:pPr>
              <w:jc w:val="center"/>
              <w:rPr>
                <w:rFonts w:ascii="宋体" w:hAnsi="宋体" w:cs="宋体"/>
                <w:kern w:val="0"/>
                <w:sz w:val="18"/>
                <w:szCs w:val="18"/>
              </w:rPr>
            </w:pPr>
            <w:r>
              <w:rPr>
                <w:rFonts w:hint="eastAsia" w:ascii="宋体" w:hAnsi="宋体" w:cs="宋体"/>
                <w:color w:val="000000"/>
                <w:kern w:val="0"/>
                <w:szCs w:val="21"/>
              </w:rPr>
              <w:t>溶解级木浆</w:t>
            </w:r>
          </w:p>
        </w:tc>
        <w:tc>
          <w:tcPr>
            <w:tcW w:w="914" w:type="pct"/>
            <w:vAlign w:val="center"/>
          </w:tcPr>
          <w:p w14:paraId="22678ABC">
            <w:pPr>
              <w:jc w:val="center"/>
              <w:rPr>
                <w:rFonts w:ascii="宋体" w:hAnsi="宋体" w:cs="宋体"/>
                <w:color w:val="000000"/>
                <w:kern w:val="0"/>
                <w:szCs w:val="21"/>
              </w:rPr>
            </w:pPr>
            <w:r>
              <w:rPr>
                <w:rFonts w:hint="eastAsia" w:ascii="宋体" w:hAnsi="宋体" w:cs="宋体"/>
                <w:color w:val="000000"/>
                <w:kern w:val="0"/>
                <w:szCs w:val="21"/>
              </w:rPr>
              <w:t>/</w:t>
            </w:r>
          </w:p>
        </w:tc>
        <w:tc>
          <w:tcPr>
            <w:tcW w:w="1498" w:type="pct"/>
            <w:vAlign w:val="center"/>
          </w:tcPr>
          <w:p w14:paraId="4273A3EA">
            <w:pPr>
              <w:jc w:val="center"/>
              <w:rPr>
                <w:rFonts w:ascii="宋体" w:hAnsi="宋体" w:cs="宋体"/>
                <w:color w:val="000000"/>
                <w:kern w:val="0"/>
                <w:szCs w:val="21"/>
              </w:rPr>
            </w:pPr>
            <w:r>
              <w:rPr>
                <w:rFonts w:ascii="宋体" w:hAnsi="宋体" w:cs="宋体"/>
                <w:color w:val="000000"/>
                <w:kern w:val="0"/>
                <w:szCs w:val="21"/>
              </w:rPr>
              <w:t>C2211</w:t>
            </w:r>
            <w:r>
              <w:rPr>
                <w:rFonts w:hint="eastAsia" w:ascii="宋体" w:hAnsi="宋体" w:cs="宋体"/>
                <w:color w:val="000000"/>
                <w:kern w:val="0"/>
                <w:szCs w:val="21"/>
              </w:rPr>
              <w:t>木竹浆制造</w:t>
            </w:r>
          </w:p>
        </w:tc>
        <w:tc>
          <w:tcPr>
            <w:tcW w:w="446" w:type="pct"/>
            <w:vAlign w:val="center"/>
          </w:tcPr>
          <w:p w14:paraId="2EBAB206">
            <w:pPr>
              <w:widowControl/>
              <w:jc w:val="center"/>
              <w:rPr>
                <w:rFonts w:ascii="宋体" w:hAnsi="宋体" w:cs="宋体"/>
                <w:color w:val="000000"/>
                <w:kern w:val="0"/>
                <w:szCs w:val="21"/>
              </w:rPr>
            </w:pPr>
            <w:r>
              <w:rPr>
                <w:rFonts w:hint="eastAsia" w:ascii="宋体" w:hAnsi="宋体" w:cs="宋体"/>
                <w:color w:val="000000"/>
                <w:kern w:val="0"/>
                <w:szCs w:val="21"/>
              </w:rPr>
              <w:t>新增</w:t>
            </w:r>
          </w:p>
        </w:tc>
      </w:tr>
      <w:tr w14:paraId="68033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shd w:val="clear" w:color="auto" w:fill="auto"/>
            <w:noWrap/>
            <w:vAlign w:val="center"/>
          </w:tcPr>
          <w:p w14:paraId="5610F35A">
            <w:pPr>
              <w:jc w:val="center"/>
              <w:rPr>
                <w:rFonts w:ascii="宋体" w:hAnsi="宋体" w:cs="宋体"/>
                <w:color w:val="000000"/>
                <w:kern w:val="0"/>
                <w:szCs w:val="21"/>
              </w:rPr>
            </w:pPr>
            <w:r>
              <w:rPr>
                <w:rFonts w:hint="eastAsia" w:ascii="宋体" w:hAnsi="宋体" w:cs="宋体"/>
                <w:color w:val="000000"/>
                <w:kern w:val="0"/>
                <w:szCs w:val="21"/>
              </w:rPr>
              <w:t>12</w:t>
            </w:r>
          </w:p>
        </w:tc>
        <w:tc>
          <w:tcPr>
            <w:tcW w:w="766" w:type="pct"/>
          </w:tcPr>
          <w:p w14:paraId="51995E59">
            <w:pPr>
              <w:jc w:val="center"/>
            </w:pPr>
            <w:r>
              <w:rPr>
                <w:rFonts w:hint="eastAsia" w:ascii="宋体" w:hAnsi="宋体" w:cs="宋体"/>
                <w:color w:val="000000"/>
                <w:kern w:val="0"/>
                <w:szCs w:val="21"/>
              </w:rPr>
              <w:t>/</w:t>
            </w:r>
          </w:p>
        </w:tc>
        <w:tc>
          <w:tcPr>
            <w:tcW w:w="997" w:type="pct"/>
            <w:vAlign w:val="center"/>
          </w:tcPr>
          <w:p w14:paraId="618F699C">
            <w:pPr>
              <w:jc w:val="center"/>
              <w:rPr>
                <w:rFonts w:ascii="宋体" w:hAnsi="宋体" w:cs="宋体"/>
                <w:color w:val="000000"/>
                <w:kern w:val="0"/>
                <w:szCs w:val="21"/>
              </w:rPr>
            </w:pPr>
            <w:r>
              <w:rPr>
                <w:rFonts w:hint="eastAsia" w:ascii="宋体" w:hAnsi="宋体" w:cs="宋体"/>
                <w:color w:val="000000"/>
                <w:kern w:val="0"/>
                <w:szCs w:val="21"/>
              </w:rPr>
              <w:t>漂白化学竹浆</w:t>
            </w:r>
          </w:p>
        </w:tc>
        <w:tc>
          <w:tcPr>
            <w:tcW w:w="914" w:type="pct"/>
            <w:vAlign w:val="center"/>
          </w:tcPr>
          <w:p w14:paraId="1773AE3E">
            <w:pPr>
              <w:jc w:val="center"/>
              <w:rPr>
                <w:rFonts w:ascii="宋体" w:hAnsi="宋体" w:cs="宋体"/>
                <w:color w:val="000000"/>
                <w:kern w:val="0"/>
                <w:szCs w:val="21"/>
              </w:rPr>
            </w:pPr>
            <w:r>
              <w:rPr>
                <w:rFonts w:hint="eastAsia" w:ascii="宋体" w:hAnsi="宋体" w:cs="宋体"/>
                <w:color w:val="000000"/>
                <w:kern w:val="0"/>
                <w:szCs w:val="21"/>
              </w:rPr>
              <w:t>/</w:t>
            </w:r>
          </w:p>
        </w:tc>
        <w:tc>
          <w:tcPr>
            <w:tcW w:w="1498" w:type="pct"/>
            <w:vAlign w:val="center"/>
          </w:tcPr>
          <w:p w14:paraId="06F2EDB8">
            <w:pPr>
              <w:jc w:val="center"/>
              <w:rPr>
                <w:rFonts w:ascii="宋体" w:hAnsi="宋体" w:cs="宋体"/>
                <w:color w:val="000000"/>
                <w:kern w:val="0"/>
                <w:szCs w:val="21"/>
              </w:rPr>
            </w:pPr>
            <w:r>
              <w:rPr>
                <w:rFonts w:ascii="宋体" w:hAnsi="宋体" w:cs="宋体"/>
                <w:color w:val="000000"/>
                <w:kern w:val="0"/>
                <w:szCs w:val="21"/>
              </w:rPr>
              <w:t>C2211</w:t>
            </w:r>
            <w:r>
              <w:rPr>
                <w:rFonts w:hint="eastAsia" w:ascii="宋体" w:hAnsi="宋体" w:cs="宋体"/>
                <w:color w:val="000000"/>
                <w:kern w:val="0"/>
                <w:szCs w:val="21"/>
              </w:rPr>
              <w:t>木竹浆制造</w:t>
            </w:r>
          </w:p>
        </w:tc>
        <w:tc>
          <w:tcPr>
            <w:tcW w:w="446" w:type="pct"/>
            <w:vAlign w:val="center"/>
          </w:tcPr>
          <w:p w14:paraId="6FF69B5D">
            <w:pPr>
              <w:widowControl/>
              <w:jc w:val="center"/>
              <w:rPr>
                <w:rFonts w:ascii="宋体" w:hAnsi="宋体" w:cs="宋体"/>
                <w:color w:val="000000"/>
                <w:kern w:val="0"/>
                <w:szCs w:val="21"/>
              </w:rPr>
            </w:pPr>
            <w:r>
              <w:rPr>
                <w:rFonts w:hint="eastAsia" w:ascii="宋体" w:hAnsi="宋体" w:cs="宋体"/>
                <w:color w:val="000000"/>
                <w:kern w:val="0"/>
                <w:szCs w:val="21"/>
              </w:rPr>
              <w:t>新增</w:t>
            </w:r>
          </w:p>
        </w:tc>
      </w:tr>
      <w:tr w14:paraId="0839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shd w:val="clear" w:color="auto" w:fill="auto"/>
            <w:noWrap/>
            <w:vAlign w:val="center"/>
          </w:tcPr>
          <w:p w14:paraId="417B0EAD">
            <w:pPr>
              <w:jc w:val="center"/>
              <w:rPr>
                <w:rFonts w:ascii="宋体" w:hAnsi="宋体" w:cs="宋体"/>
                <w:color w:val="000000"/>
                <w:kern w:val="0"/>
                <w:szCs w:val="21"/>
              </w:rPr>
            </w:pPr>
            <w:r>
              <w:rPr>
                <w:rFonts w:hint="eastAsia" w:ascii="宋体" w:hAnsi="宋体" w:cs="宋体"/>
                <w:color w:val="000000"/>
                <w:kern w:val="0"/>
                <w:szCs w:val="21"/>
              </w:rPr>
              <w:t>13</w:t>
            </w:r>
          </w:p>
        </w:tc>
        <w:tc>
          <w:tcPr>
            <w:tcW w:w="766" w:type="pct"/>
          </w:tcPr>
          <w:p w14:paraId="6BDE94C2">
            <w:pPr>
              <w:jc w:val="center"/>
            </w:pPr>
            <w:r>
              <w:rPr>
                <w:rFonts w:hint="eastAsia" w:ascii="宋体" w:hAnsi="宋体" w:cs="宋体"/>
                <w:color w:val="000000"/>
                <w:kern w:val="0"/>
                <w:szCs w:val="21"/>
              </w:rPr>
              <w:t>/</w:t>
            </w:r>
          </w:p>
        </w:tc>
        <w:tc>
          <w:tcPr>
            <w:tcW w:w="997" w:type="pct"/>
            <w:vAlign w:val="center"/>
          </w:tcPr>
          <w:p w14:paraId="0D46479B">
            <w:pPr>
              <w:jc w:val="center"/>
              <w:rPr>
                <w:rFonts w:ascii="宋体" w:hAnsi="宋体" w:cs="宋体"/>
                <w:color w:val="000000"/>
                <w:kern w:val="0"/>
                <w:szCs w:val="21"/>
              </w:rPr>
            </w:pPr>
            <w:r>
              <w:rPr>
                <w:rFonts w:hint="eastAsia" w:ascii="宋体" w:hAnsi="宋体" w:cs="宋体"/>
                <w:color w:val="000000"/>
                <w:kern w:val="0"/>
                <w:szCs w:val="21"/>
              </w:rPr>
              <w:t>溶解级竹浆</w:t>
            </w:r>
          </w:p>
        </w:tc>
        <w:tc>
          <w:tcPr>
            <w:tcW w:w="914" w:type="pct"/>
            <w:vAlign w:val="center"/>
          </w:tcPr>
          <w:p w14:paraId="1AD1827E">
            <w:pPr>
              <w:jc w:val="center"/>
              <w:rPr>
                <w:rFonts w:ascii="宋体" w:hAnsi="宋体" w:cs="宋体"/>
                <w:color w:val="000000"/>
                <w:kern w:val="0"/>
                <w:szCs w:val="21"/>
              </w:rPr>
            </w:pPr>
            <w:r>
              <w:rPr>
                <w:rFonts w:hint="eastAsia" w:ascii="宋体" w:hAnsi="宋体" w:cs="宋体"/>
                <w:color w:val="000000"/>
                <w:kern w:val="0"/>
                <w:szCs w:val="21"/>
              </w:rPr>
              <w:t>/</w:t>
            </w:r>
          </w:p>
        </w:tc>
        <w:tc>
          <w:tcPr>
            <w:tcW w:w="1498" w:type="pct"/>
            <w:vAlign w:val="center"/>
          </w:tcPr>
          <w:p w14:paraId="240E2660">
            <w:pPr>
              <w:jc w:val="center"/>
              <w:rPr>
                <w:rFonts w:ascii="宋体" w:hAnsi="宋体" w:cs="宋体"/>
                <w:color w:val="000000"/>
                <w:kern w:val="0"/>
                <w:szCs w:val="21"/>
              </w:rPr>
            </w:pPr>
            <w:r>
              <w:rPr>
                <w:rFonts w:ascii="宋体" w:hAnsi="宋体" w:cs="宋体"/>
                <w:color w:val="000000"/>
                <w:kern w:val="0"/>
                <w:szCs w:val="21"/>
              </w:rPr>
              <w:t>C2211</w:t>
            </w:r>
            <w:r>
              <w:rPr>
                <w:rFonts w:hint="eastAsia" w:ascii="宋体" w:hAnsi="宋体" w:cs="宋体"/>
                <w:color w:val="000000"/>
                <w:kern w:val="0"/>
                <w:szCs w:val="21"/>
              </w:rPr>
              <w:t>木竹浆制造</w:t>
            </w:r>
          </w:p>
        </w:tc>
        <w:tc>
          <w:tcPr>
            <w:tcW w:w="446" w:type="pct"/>
            <w:vAlign w:val="center"/>
          </w:tcPr>
          <w:p w14:paraId="6C0CBB70">
            <w:pPr>
              <w:widowControl/>
              <w:jc w:val="center"/>
              <w:rPr>
                <w:rFonts w:ascii="宋体" w:hAnsi="宋体" w:cs="宋体"/>
                <w:color w:val="000000"/>
                <w:kern w:val="0"/>
                <w:szCs w:val="21"/>
              </w:rPr>
            </w:pPr>
            <w:r>
              <w:rPr>
                <w:rFonts w:hint="eastAsia" w:ascii="宋体" w:hAnsi="宋体" w:cs="宋体"/>
                <w:color w:val="000000"/>
                <w:kern w:val="0"/>
                <w:szCs w:val="21"/>
              </w:rPr>
              <w:t>新增</w:t>
            </w:r>
          </w:p>
        </w:tc>
      </w:tr>
      <w:tr w14:paraId="42DB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shd w:val="clear" w:color="auto" w:fill="auto"/>
            <w:noWrap/>
            <w:vAlign w:val="center"/>
          </w:tcPr>
          <w:p w14:paraId="5AFFC724">
            <w:pPr>
              <w:jc w:val="center"/>
              <w:rPr>
                <w:rFonts w:ascii="宋体" w:hAnsi="宋体" w:cs="宋体"/>
                <w:color w:val="000000"/>
                <w:kern w:val="0"/>
                <w:szCs w:val="21"/>
              </w:rPr>
            </w:pPr>
            <w:r>
              <w:rPr>
                <w:rFonts w:hint="eastAsia" w:ascii="宋体" w:hAnsi="宋体" w:cs="宋体"/>
                <w:color w:val="000000"/>
                <w:kern w:val="0"/>
                <w:szCs w:val="21"/>
              </w:rPr>
              <w:t>14</w:t>
            </w:r>
          </w:p>
        </w:tc>
        <w:tc>
          <w:tcPr>
            <w:tcW w:w="766" w:type="pct"/>
          </w:tcPr>
          <w:p w14:paraId="064EFD3C">
            <w:pPr>
              <w:jc w:val="center"/>
            </w:pPr>
            <w:r>
              <w:rPr>
                <w:rFonts w:hint="eastAsia" w:ascii="宋体" w:hAnsi="宋体" w:cs="宋体"/>
                <w:color w:val="000000"/>
                <w:kern w:val="0"/>
                <w:szCs w:val="21"/>
              </w:rPr>
              <w:t>/</w:t>
            </w:r>
          </w:p>
        </w:tc>
        <w:tc>
          <w:tcPr>
            <w:tcW w:w="997" w:type="pct"/>
            <w:vAlign w:val="center"/>
          </w:tcPr>
          <w:p w14:paraId="1E757284">
            <w:pPr>
              <w:jc w:val="center"/>
              <w:rPr>
                <w:rFonts w:ascii="宋体" w:hAnsi="宋体" w:cs="宋体"/>
                <w:color w:val="000000"/>
                <w:kern w:val="0"/>
                <w:szCs w:val="21"/>
              </w:rPr>
            </w:pPr>
            <w:r>
              <w:rPr>
                <w:rFonts w:hint="eastAsia" w:ascii="宋体" w:hAnsi="宋体" w:cs="宋体"/>
                <w:color w:val="000000"/>
                <w:kern w:val="0"/>
                <w:szCs w:val="21"/>
              </w:rPr>
              <w:t>本色化学竹浆</w:t>
            </w:r>
          </w:p>
        </w:tc>
        <w:tc>
          <w:tcPr>
            <w:tcW w:w="914" w:type="pct"/>
            <w:vAlign w:val="center"/>
          </w:tcPr>
          <w:p w14:paraId="5433C8C3">
            <w:pPr>
              <w:jc w:val="center"/>
              <w:rPr>
                <w:rFonts w:ascii="宋体" w:hAnsi="宋体" w:cs="宋体"/>
                <w:color w:val="000000"/>
                <w:kern w:val="0"/>
                <w:szCs w:val="21"/>
              </w:rPr>
            </w:pPr>
            <w:r>
              <w:rPr>
                <w:rFonts w:hint="eastAsia" w:ascii="宋体" w:hAnsi="宋体" w:cs="宋体"/>
                <w:color w:val="000000"/>
                <w:kern w:val="0"/>
                <w:szCs w:val="21"/>
              </w:rPr>
              <w:t>/</w:t>
            </w:r>
          </w:p>
        </w:tc>
        <w:tc>
          <w:tcPr>
            <w:tcW w:w="1498" w:type="pct"/>
            <w:vAlign w:val="center"/>
          </w:tcPr>
          <w:p w14:paraId="2FD505A6">
            <w:pPr>
              <w:jc w:val="center"/>
              <w:rPr>
                <w:rFonts w:ascii="宋体" w:hAnsi="宋体" w:cs="宋体"/>
                <w:color w:val="000000"/>
                <w:kern w:val="0"/>
                <w:szCs w:val="21"/>
              </w:rPr>
            </w:pPr>
            <w:r>
              <w:rPr>
                <w:rFonts w:ascii="宋体" w:hAnsi="宋体" w:cs="宋体"/>
                <w:color w:val="000000"/>
                <w:kern w:val="0"/>
                <w:szCs w:val="21"/>
              </w:rPr>
              <w:t>C2211</w:t>
            </w:r>
            <w:r>
              <w:rPr>
                <w:rFonts w:hint="eastAsia" w:ascii="宋体" w:hAnsi="宋体" w:cs="宋体"/>
                <w:color w:val="000000"/>
                <w:kern w:val="0"/>
                <w:szCs w:val="21"/>
              </w:rPr>
              <w:t>木竹浆制造</w:t>
            </w:r>
          </w:p>
        </w:tc>
        <w:tc>
          <w:tcPr>
            <w:tcW w:w="446" w:type="pct"/>
            <w:vAlign w:val="center"/>
          </w:tcPr>
          <w:p w14:paraId="26AA35D1">
            <w:pPr>
              <w:widowControl/>
              <w:jc w:val="center"/>
              <w:rPr>
                <w:rFonts w:ascii="宋体" w:hAnsi="宋体" w:cs="宋体"/>
                <w:color w:val="000000"/>
                <w:kern w:val="0"/>
                <w:szCs w:val="21"/>
              </w:rPr>
            </w:pPr>
            <w:r>
              <w:rPr>
                <w:rFonts w:hint="eastAsia" w:ascii="宋体" w:hAnsi="宋体" w:cs="宋体"/>
                <w:color w:val="000000"/>
                <w:kern w:val="0"/>
                <w:szCs w:val="21"/>
              </w:rPr>
              <w:t>新增</w:t>
            </w:r>
          </w:p>
        </w:tc>
      </w:tr>
      <w:tr w14:paraId="74023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shd w:val="clear" w:color="auto" w:fill="auto"/>
            <w:noWrap/>
            <w:vAlign w:val="center"/>
          </w:tcPr>
          <w:p w14:paraId="6CD96B46">
            <w:pPr>
              <w:jc w:val="center"/>
              <w:rPr>
                <w:rFonts w:ascii="宋体" w:hAnsi="宋体" w:cs="宋体"/>
                <w:color w:val="000000"/>
                <w:kern w:val="0"/>
                <w:szCs w:val="21"/>
              </w:rPr>
            </w:pPr>
            <w:r>
              <w:rPr>
                <w:rFonts w:hint="eastAsia" w:ascii="宋体" w:hAnsi="宋体" w:cs="宋体"/>
                <w:color w:val="000000"/>
                <w:kern w:val="0"/>
                <w:szCs w:val="21"/>
              </w:rPr>
              <w:t>15</w:t>
            </w:r>
          </w:p>
        </w:tc>
        <w:tc>
          <w:tcPr>
            <w:tcW w:w="766" w:type="pct"/>
            <w:vAlign w:val="center"/>
          </w:tcPr>
          <w:p w14:paraId="325BC6BC">
            <w:pPr>
              <w:jc w:val="center"/>
              <w:rPr>
                <w:rFonts w:ascii="宋体" w:hAnsi="宋体" w:cs="宋体"/>
                <w:color w:val="000000"/>
                <w:kern w:val="0"/>
                <w:szCs w:val="21"/>
              </w:rPr>
            </w:pPr>
            <w:r>
              <w:rPr>
                <w:rFonts w:hint="eastAsia" w:ascii="宋体" w:hAnsi="宋体" w:cs="宋体"/>
                <w:color w:val="000000"/>
                <w:kern w:val="0"/>
                <w:szCs w:val="21"/>
              </w:rPr>
              <w:t>/</w:t>
            </w:r>
          </w:p>
        </w:tc>
        <w:tc>
          <w:tcPr>
            <w:tcW w:w="997" w:type="pct"/>
            <w:vAlign w:val="center"/>
          </w:tcPr>
          <w:p w14:paraId="1B356D7D">
            <w:pPr>
              <w:jc w:val="center"/>
              <w:rPr>
                <w:rFonts w:ascii="宋体" w:hAnsi="宋体" w:cs="宋体"/>
                <w:kern w:val="0"/>
                <w:sz w:val="18"/>
                <w:szCs w:val="18"/>
              </w:rPr>
            </w:pPr>
            <w:r>
              <w:rPr>
                <w:rFonts w:hint="eastAsia" w:ascii="宋体" w:hAnsi="宋体" w:cs="宋体"/>
                <w:color w:val="000000"/>
                <w:kern w:val="0"/>
                <w:szCs w:val="21"/>
              </w:rPr>
              <w:t>漂白脱墨废纸浆</w:t>
            </w:r>
          </w:p>
        </w:tc>
        <w:tc>
          <w:tcPr>
            <w:tcW w:w="914" w:type="pct"/>
            <w:vAlign w:val="center"/>
          </w:tcPr>
          <w:p w14:paraId="4ACEC31D">
            <w:pPr>
              <w:jc w:val="center"/>
              <w:rPr>
                <w:rFonts w:ascii="宋体" w:hAnsi="宋体" w:cs="宋体"/>
                <w:color w:val="000000"/>
                <w:kern w:val="0"/>
                <w:szCs w:val="21"/>
              </w:rPr>
            </w:pPr>
            <w:r>
              <w:rPr>
                <w:rFonts w:hint="eastAsia" w:ascii="宋体" w:hAnsi="宋体" w:cs="宋体"/>
                <w:color w:val="000000"/>
                <w:kern w:val="0"/>
                <w:szCs w:val="21"/>
              </w:rPr>
              <w:t>/</w:t>
            </w:r>
          </w:p>
        </w:tc>
        <w:tc>
          <w:tcPr>
            <w:tcW w:w="1498" w:type="pct"/>
            <w:vAlign w:val="center"/>
          </w:tcPr>
          <w:p w14:paraId="002AE7C8">
            <w:pPr>
              <w:jc w:val="center"/>
              <w:rPr>
                <w:rFonts w:ascii="宋体" w:hAnsi="宋体" w:cs="宋体"/>
                <w:color w:val="000000"/>
                <w:kern w:val="0"/>
                <w:szCs w:val="21"/>
              </w:rPr>
            </w:pPr>
            <w:r>
              <w:rPr>
                <w:rFonts w:ascii="宋体" w:hAnsi="宋体" w:cs="宋体"/>
                <w:color w:val="000000"/>
                <w:kern w:val="0"/>
                <w:szCs w:val="21"/>
              </w:rPr>
              <w:t>C2212非</w:t>
            </w:r>
            <w:r>
              <w:rPr>
                <w:rFonts w:hint="eastAsia" w:ascii="宋体" w:hAnsi="宋体" w:cs="宋体"/>
                <w:color w:val="000000"/>
                <w:kern w:val="0"/>
                <w:szCs w:val="21"/>
              </w:rPr>
              <w:t>木竹浆制造</w:t>
            </w:r>
          </w:p>
        </w:tc>
        <w:tc>
          <w:tcPr>
            <w:tcW w:w="446" w:type="pct"/>
            <w:vAlign w:val="center"/>
          </w:tcPr>
          <w:p w14:paraId="2B198226">
            <w:pPr>
              <w:widowControl/>
              <w:jc w:val="center"/>
              <w:rPr>
                <w:rFonts w:ascii="宋体" w:hAnsi="宋体" w:cs="宋体"/>
                <w:color w:val="000000"/>
                <w:kern w:val="0"/>
                <w:szCs w:val="21"/>
              </w:rPr>
            </w:pPr>
            <w:r>
              <w:rPr>
                <w:rFonts w:hint="eastAsia" w:ascii="宋体" w:hAnsi="宋体" w:cs="宋体"/>
                <w:color w:val="000000"/>
                <w:kern w:val="0"/>
                <w:szCs w:val="21"/>
              </w:rPr>
              <w:t>新增</w:t>
            </w:r>
          </w:p>
        </w:tc>
      </w:tr>
      <w:tr w14:paraId="06A46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shd w:val="clear" w:color="auto" w:fill="auto"/>
            <w:noWrap/>
            <w:vAlign w:val="center"/>
          </w:tcPr>
          <w:p w14:paraId="61EACA8B">
            <w:pPr>
              <w:jc w:val="center"/>
              <w:rPr>
                <w:rFonts w:ascii="宋体" w:hAnsi="宋体" w:cs="宋体"/>
                <w:color w:val="000000"/>
                <w:kern w:val="0"/>
                <w:szCs w:val="21"/>
              </w:rPr>
            </w:pPr>
            <w:r>
              <w:rPr>
                <w:rFonts w:hint="eastAsia" w:ascii="宋体" w:hAnsi="宋体" w:cs="宋体"/>
                <w:color w:val="000000"/>
                <w:kern w:val="0"/>
                <w:szCs w:val="21"/>
              </w:rPr>
              <w:t>16</w:t>
            </w:r>
          </w:p>
        </w:tc>
        <w:tc>
          <w:tcPr>
            <w:tcW w:w="766" w:type="pct"/>
            <w:vAlign w:val="center"/>
          </w:tcPr>
          <w:p w14:paraId="0EAAB929">
            <w:pPr>
              <w:jc w:val="center"/>
              <w:rPr>
                <w:rFonts w:ascii="宋体" w:hAnsi="宋体" w:cs="宋体"/>
                <w:color w:val="000000"/>
                <w:kern w:val="0"/>
                <w:szCs w:val="21"/>
              </w:rPr>
            </w:pPr>
            <w:r>
              <w:rPr>
                <w:rFonts w:hint="eastAsia" w:ascii="宋体" w:hAnsi="宋体" w:cs="宋体"/>
                <w:color w:val="000000"/>
                <w:kern w:val="0"/>
                <w:szCs w:val="21"/>
              </w:rPr>
              <w:t>/</w:t>
            </w:r>
          </w:p>
        </w:tc>
        <w:tc>
          <w:tcPr>
            <w:tcW w:w="997" w:type="pct"/>
            <w:vAlign w:val="center"/>
          </w:tcPr>
          <w:p w14:paraId="54F76F7C">
            <w:pPr>
              <w:jc w:val="center"/>
              <w:rPr>
                <w:rFonts w:ascii="宋体" w:hAnsi="宋体" w:cs="宋体"/>
                <w:color w:val="000000"/>
                <w:kern w:val="0"/>
                <w:szCs w:val="21"/>
              </w:rPr>
            </w:pPr>
            <w:r>
              <w:rPr>
                <w:rFonts w:hint="eastAsia" w:ascii="宋体" w:hAnsi="宋体" w:cs="宋体"/>
                <w:color w:val="000000"/>
                <w:kern w:val="0"/>
                <w:szCs w:val="21"/>
              </w:rPr>
              <w:t>赖氨酸盐</w:t>
            </w:r>
          </w:p>
        </w:tc>
        <w:tc>
          <w:tcPr>
            <w:tcW w:w="914" w:type="pct"/>
            <w:vAlign w:val="center"/>
          </w:tcPr>
          <w:p w14:paraId="7380461A">
            <w:pPr>
              <w:jc w:val="center"/>
              <w:rPr>
                <w:rFonts w:ascii="宋体" w:hAnsi="宋体" w:cs="宋体"/>
                <w:color w:val="000000"/>
                <w:kern w:val="0"/>
                <w:szCs w:val="21"/>
              </w:rPr>
            </w:pPr>
            <w:r>
              <w:rPr>
                <w:rFonts w:hint="eastAsia" w:ascii="宋体" w:hAnsi="宋体" w:cs="宋体"/>
                <w:color w:val="000000"/>
                <w:kern w:val="0"/>
                <w:szCs w:val="21"/>
              </w:rPr>
              <w:t>/</w:t>
            </w:r>
          </w:p>
        </w:tc>
        <w:tc>
          <w:tcPr>
            <w:tcW w:w="1498" w:type="pct"/>
            <w:vAlign w:val="center"/>
          </w:tcPr>
          <w:p w14:paraId="3C5236DF">
            <w:pPr>
              <w:jc w:val="center"/>
              <w:rPr>
                <w:rFonts w:ascii="宋体" w:hAnsi="宋体" w:cs="宋体"/>
                <w:color w:val="000000"/>
                <w:kern w:val="0"/>
                <w:szCs w:val="21"/>
              </w:rPr>
            </w:pPr>
            <w:r>
              <w:rPr>
                <w:rFonts w:ascii="宋体" w:hAnsi="宋体" w:cs="宋体"/>
                <w:color w:val="000000"/>
                <w:kern w:val="0"/>
                <w:szCs w:val="21"/>
              </w:rPr>
              <w:t>C2614</w:t>
            </w:r>
            <w:r>
              <w:rPr>
                <w:rFonts w:hint="eastAsia" w:ascii="宋体" w:hAnsi="宋体" w:cs="宋体"/>
                <w:color w:val="000000"/>
                <w:kern w:val="0"/>
                <w:szCs w:val="21"/>
              </w:rPr>
              <w:t>有机化学原料制造</w:t>
            </w:r>
          </w:p>
        </w:tc>
        <w:tc>
          <w:tcPr>
            <w:tcW w:w="446" w:type="pct"/>
            <w:vAlign w:val="center"/>
          </w:tcPr>
          <w:p w14:paraId="3DA49EAA">
            <w:pPr>
              <w:widowControl/>
              <w:jc w:val="center"/>
              <w:rPr>
                <w:rFonts w:ascii="宋体" w:hAnsi="宋体" w:cs="宋体"/>
                <w:color w:val="000000"/>
                <w:kern w:val="0"/>
                <w:szCs w:val="21"/>
              </w:rPr>
            </w:pPr>
            <w:r>
              <w:rPr>
                <w:rFonts w:hint="eastAsia" w:ascii="宋体" w:hAnsi="宋体" w:cs="宋体"/>
                <w:color w:val="000000"/>
                <w:kern w:val="0"/>
                <w:szCs w:val="21"/>
              </w:rPr>
              <w:t>新增</w:t>
            </w:r>
          </w:p>
        </w:tc>
      </w:tr>
      <w:tr w14:paraId="3C45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shd w:val="clear" w:color="auto" w:fill="auto"/>
            <w:noWrap/>
            <w:vAlign w:val="center"/>
          </w:tcPr>
          <w:p w14:paraId="44BFDBA5">
            <w:pPr>
              <w:jc w:val="center"/>
              <w:rPr>
                <w:rFonts w:ascii="宋体" w:hAnsi="宋体" w:cs="宋体"/>
                <w:color w:val="000000"/>
                <w:kern w:val="0"/>
                <w:szCs w:val="21"/>
              </w:rPr>
            </w:pPr>
            <w:r>
              <w:rPr>
                <w:rFonts w:hint="eastAsia" w:ascii="宋体" w:hAnsi="宋体" w:cs="宋体"/>
                <w:color w:val="000000"/>
                <w:kern w:val="0"/>
                <w:szCs w:val="21"/>
              </w:rPr>
              <w:t>17</w:t>
            </w:r>
          </w:p>
        </w:tc>
        <w:tc>
          <w:tcPr>
            <w:tcW w:w="766" w:type="pct"/>
          </w:tcPr>
          <w:p w14:paraId="1FB18AF0">
            <w:pPr>
              <w:jc w:val="center"/>
            </w:pPr>
            <w:r>
              <w:rPr>
                <w:rFonts w:hint="eastAsia" w:ascii="宋体" w:hAnsi="宋体" w:cs="宋体"/>
                <w:color w:val="000000"/>
                <w:kern w:val="0"/>
                <w:szCs w:val="21"/>
              </w:rPr>
              <w:t>/</w:t>
            </w:r>
          </w:p>
        </w:tc>
        <w:tc>
          <w:tcPr>
            <w:tcW w:w="997" w:type="pct"/>
            <w:vAlign w:val="center"/>
          </w:tcPr>
          <w:p w14:paraId="25503C08">
            <w:pPr>
              <w:jc w:val="center"/>
              <w:rPr>
                <w:rFonts w:ascii="宋体" w:hAnsi="宋体" w:cs="宋体"/>
                <w:color w:val="000000"/>
                <w:kern w:val="0"/>
                <w:szCs w:val="21"/>
              </w:rPr>
            </w:pPr>
            <w:r>
              <w:rPr>
                <w:rFonts w:hint="eastAsia" w:ascii="宋体" w:hAnsi="宋体" w:cs="宋体"/>
                <w:color w:val="000000"/>
                <w:kern w:val="0"/>
                <w:szCs w:val="21"/>
              </w:rPr>
              <w:t>TDI</w:t>
            </w:r>
          </w:p>
        </w:tc>
        <w:tc>
          <w:tcPr>
            <w:tcW w:w="914" w:type="pct"/>
            <w:vAlign w:val="center"/>
          </w:tcPr>
          <w:p w14:paraId="7797B191">
            <w:pPr>
              <w:jc w:val="center"/>
              <w:rPr>
                <w:rFonts w:ascii="宋体" w:hAnsi="宋体" w:cs="宋体"/>
                <w:color w:val="000000"/>
                <w:kern w:val="0"/>
                <w:szCs w:val="21"/>
              </w:rPr>
            </w:pPr>
            <w:r>
              <w:rPr>
                <w:rFonts w:hint="eastAsia" w:ascii="宋体" w:hAnsi="宋体" w:cs="宋体"/>
                <w:color w:val="000000"/>
                <w:kern w:val="0"/>
                <w:szCs w:val="21"/>
              </w:rPr>
              <w:t>/</w:t>
            </w:r>
          </w:p>
        </w:tc>
        <w:tc>
          <w:tcPr>
            <w:tcW w:w="1498" w:type="pct"/>
            <w:vAlign w:val="center"/>
          </w:tcPr>
          <w:p w14:paraId="0A2D8349">
            <w:pPr>
              <w:jc w:val="center"/>
              <w:rPr>
                <w:rFonts w:ascii="宋体" w:hAnsi="宋体" w:cs="宋体"/>
                <w:color w:val="000000"/>
                <w:kern w:val="0"/>
                <w:szCs w:val="21"/>
              </w:rPr>
            </w:pPr>
            <w:r>
              <w:rPr>
                <w:rFonts w:ascii="宋体" w:hAnsi="宋体" w:cs="宋体"/>
                <w:color w:val="000000"/>
                <w:kern w:val="0"/>
                <w:szCs w:val="21"/>
              </w:rPr>
              <w:t>C2614</w:t>
            </w:r>
            <w:r>
              <w:rPr>
                <w:rFonts w:hint="eastAsia" w:ascii="宋体" w:hAnsi="宋体" w:cs="宋体"/>
                <w:color w:val="000000"/>
                <w:kern w:val="0"/>
                <w:szCs w:val="21"/>
              </w:rPr>
              <w:t>有机化学原料制造</w:t>
            </w:r>
          </w:p>
        </w:tc>
        <w:tc>
          <w:tcPr>
            <w:tcW w:w="446" w:type="pct"/>
            <w:vAlign w:val="center"/>
          </w:tcPr>
          <w:p w14:paraId="392E551A">
            <w:pPr>
              <w:widowControl/>
              <w:jc w:val="center"/>
              <w:rPr>
                <w:rFonts w:ascii="宋体" w:hAnsi="宋体" w:cs="宋体"/>
                <w:color w:val="000000"/>
                <w:kern w:val="0"/>
                <w:szCs w:val="21"/>
              </w:rPr>
            </w:pPr>
            <w:r>
              <w:rPr>
                <w:rFonts w:hint="eastAsia" w:ascii="宋体" w:hAnsi="宋体" w:cs="宋体"/>
                <w:color w:val="000000"/>
                <w:kern w:val="0"/>
                <w:szCs w:val="21"/>
              </w:rPr>
              <w:t>新增</w:t>
            </w:r>
          </w:p>
        </w:tc>
      </w:tr>
      <w:tr w14:paraId="3360E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shd w:val="clear" w:color="auto" w:fill="auto"/>
            <w:noWrap/>
            <w:vAlign w:val="center"/>
          </w:tcPr>
          <w:p w14:paraId="038C4634">
            <w:pPr>
              <w:jc w:val="center"/>
              <w:rPr>
                <w:rFonts w:ascii="宋体" w:hAnsi="宋体" w:cs="宋体"/>
                <w:color w:val="000000"/>
                <w:kern w:val="0"/>
                <w:szCs w:val="21"/>
              </w:rPr>
            </w:pPr>
            <w:r>
              <w:rPr>
                <w:rFonts w:hint="eastAsia" w:ascii="宋体" w:hAnsi="宋体" w:cs="宋体"/>
                <w:color w:val="000000"/>
                <w:kern w:val="0"/>
                <w:szCs w:val="21"/>
              </w:rPr>
              <w:t>18</w:t>
            </w:r>
          </w:p>
        </w:tc>
        <w:tc>
          <w:tcPr>
            <w:tcW w:w="766" w:type="pct"/>
          </w:tcPr>
          <w:p w14:paraId="11DC417B">
            <w:pPr>
              <w:jc w:val="center"/>
            </w:pPr>
            <w:r>
              <w:rPr>
                <w:rFonts w:hint="eastAsia" w:ascii="宋体" w:hAnsi="宋体" w:cs="宋体"/>
                <w:color w:val="000000"/>
                <w:kern w:val="0"/>
                <w:szCs w:val="21"/>
              </w:rPr>
              <w:t>/</w:t>
            </w:r>
          </w:p>
        </w:tc>
        <w:tc>
          <w:tcPr>
            <w:tcW w:w="997" w:type="pct"/>
            <w:vAlign w:val="center"/>
          </w:tcPr>
          <w:p w14:paraId="1AB33D14">
            <w:pPr>
              <w:jc w:val="center"/>
              <w:rPr>
                <w:rFonts w:ascii="宋体" w:hAnsi="宋体" w:cs="宋体"/>
                <w:color w:val="000000"/>
                <w:kern w:val="0"/>
                <w:szCs w:val="21"/>
              </w:rPr>
            </w:pPr>
            <w:r>
              <w:rPr>
                <w:rFonts w:hint="eastAsia" w:ascii="宋体" w:hAnsi="宋体" w:cs="宋体"/>
                <w:color w:val="000000"/>
                <w:kern w:val="0"/>
                <w:szCs w:val="21"/>
              </w:rPr>
              <w:t>丁酯</w:t>
            </w:r>
          </w:p>
        </w:tc>
        <w:tc>
          <w:tcPr>
            <w:tcW w:w="914" w:type="pct"/>
            <w:vAlign w:val="center"/>
          </w:tcPr>
          <w:p w14:paraId="5D2A00E5">
            <w:pPr>
              <w:jc w:val="center"/>
              <w:rPr>
                <w:rFonts w:ascii="宋体" w:hAnsi="宋体" w:cs="宋体"/>
                <w:color w:val="000000"/>
                <w:kern w:val="0"/>
                <w:szCs w:val="21"/>
              </w:rPr>
            </w:pPr>
            <w:r>
              <w:rPr>
                <w:rFonts w:hint="eastAsia" w:ascii="宋体" w:hAnsi="宋体" w:cs="宋体"/>
                <w:color w:val="000000"/>
                <w:kern w:val="0"/>
                <w:szCs w:val="21"/>
              </w:rPr>
              <w:t>/</w:t>
            </w:r>
          </w:p>
        </w:tc>
        <w:tc>
          <w:tcPr>
            <w:tcW w:w="1498" w:type="pct"/>
            <w:vAlign w:val="center"/>
          </w:tcPr>
          <w:p w14:paraId="21A187D0">
            <w:pPr>
              <w:jc w:val="center"/>
              <w:rPr>
                <w:rFonts w:ascii="宋体" w:hAnsi="宋体" w:cs="宋体"/>
                <w:color w:val="000000"/>
                <w:kern w:val="0"/>
                <w:szCs w:val="21"/>
              </w:rPr>
            </w:pPr>
            <w:r>
              <w:rPr>
                <w:rFonts w:ascii="宋体" w:hAnsi="宋体" w:cs="宋体"/>
                <w:color w:val="000000"/>
                <w:kern w:val="0"/>
                <w:szCs w:val="21"/>
              </w:rPr>
              <w:t>C2614</w:t>
            </w:r>
            <w:r>
              <w:rPr>
                <w:rFonts w:hint="eastAsia" w:ascii="宋体" w:hAnsi="宋体" w:cs="宋体"/>
                <w:color w:val="000000"/>
                <w:kern w:val="0"/>
                <w:szCs w:val="21"/>
              </w:rPr>
              <w:t>有机化学原料制造</w:t>
            </w:r>
          </w:p>
        </w:tc>
        <w:tc>
          <w:tcPr>
            <w:tcW w:w="446" w:type="pct"/>
            <w:vAlign w:val="center"/>
          </w:tcPr>
          <w:p w14:paraId="7ABBF0B1">
            <w:pPr>
              <w:widowControl/>
              <w:jc w:val="center"/>
              <w:rPr>
                <w:rFonts w:ascii="宋体" w:hAnsi="宋体" w:cs="宋体"/>
                <w:color w:val="000000"/>
                <w:kern w:val="0"/>
                <w:szCs w:val="21"/>
              </w:rPr>
            </w:pPr>
            <w:r>
              <w:rPr>
                <w:rFonts w:hint="eastAsia" w:ascii="宋体" w:hAnsi="宋体" w:cs="宋体"/>
                <w:color w:val="000000"/>
                <w:kern w:val="0"/>
                <w:szCs w:val="21"/>
              </w:rPr>
              <w:t>新增</w:t>
            </w:r>
          </w:p>
        </w:tc>
      </w:tr>
      <w:tr w14:paraId="68632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shd w:val="clear" w:color="auto" w:fill="auto"/>
            <w:noWrap/>
            <w:vAlign w:val="center"/>
          </w:tcPr>
          <w:p w14:paraId="3D8E8EC2">
            <w:pPr>
              <w:jc w:val="center"/>
              <w:rPr>
                <w:rFonts w:ascii="宋体" w:hAnsi="宋体" w:cs="宋体"/>
                <w:color w:val="000000"/>
                <w:kern w:val="0"/>
                <w:szCs w:val="21"/>
              </w:rPr>
            </w:pPr>
            <w:r>
              <w:rPr>
                <w:rFonts w:hint="eastAsia" w:ascii="宋体" w:hAnsi="宋体" w:cs="宋体"/>
                <w:color w:val="000000"/>
                <w:kern w:val="0"/>
                <w:szCs w:val="21"/>
              </w:rPr>
              <w:t>19</w:t>
            </w:r>
          </w:p>
        </w:tc>
        <w:tc>
          <w:tcPr>
            <w:tcW w:w="766" w:type="pct"/>
          </w:tcPr>
          <w:p w14:paraId="329FEA95">
            <w:pPr>
              <w:jc w:val="center"/>
            </w:pPr>
            <w:r>
              <w:rPr>
                <w:rFonts w:hint="eastAsia" w:ascii="宋体" w:hAnsi="宋体" w:cs="宋体"/>
                <w:color w:val="000000"/>
                <w:kern w:val="0"/>
                <w:szCs w:val="21"/>
              </w:rPr>
              <w:t>/</w:t>
            </w:r>
          </w:p>
        </w:tc>
        <w:tc>
          <w:tcPr>
            <w:tcW w:w="997" w:type="pct"/>
            <w:vAlign w:val="center"/>
          </w:tcPr>
          <w:p w14:paraId="39AD0CA9">
            <w:pPr>
              <w:jc w:val="center"/>
              <w:rPr>
                <w:rFonts w:ascii="宋体" w:hAnsi="宋体" w:cs="宋体"/>
                <w:color w:val="000000"/>
                <w:kern w:val="0"/>
                <w:szCs w:val="21"/>
              </w:rPr>
            </w:pPr>
            <w:r>
              <w:rPr>
                <w:rFonts w:hint="eastAsia" w:ascii="宋体" w:hAnsi="宋体" w:cs="宋体"/>
                <w:color w:val="000000"/>
                <w:kern w:val="0"/>
                <w:szCs w:val="21"/>
              </w:rPr>
              <w:t>己二酸</w:t>
            </w:r>
          </w:p>
        </w:tc>
        <w:tc>
          <w:tcPr>
            <w:tcW w:w="914" w:type="pct"/>
            <w:vAlign w:val="center"/>
          </w:tcPr>
          <w:p w14:paraId="54217036">
            <w:pPr>
              <w:jc w:val="center"/>
              <w:rPr>
                <w:rFonts w:ascii="宋体" w:hAnsi="宋体" w:cs="宋体"/>
                <w:color w:val="000000"/>
                <w:kern w:val="0"/>
                <w:szCs w:val="21"/>
              </w:rPr>
            </w:pPr>
            <w:r>
              <w:rPr>
                <w:rFonts w:hint="eastAsia" w:ascii="宋体" w:hAnsi="宋体" w:cs="宋体"/>
                <w:color w:val="000000"/>
                <w:kern w:val="0"/>
                <w:szCs w:val="21"/>
              </w:rPr>
              <w:t>/</w:t>
            </w:r>
          </w:p>
        </w:tc>
        <w:tc>
          <w:tcPr>
            <w:tcW w:w="1498" w:type="pct"/>
            <w:vAlign w:val="center"/>
          </w:tcPr>
          <w:p w14:paraId="4FABBF5E">
            <w:pPr>
              <w:jc w:val="center"/>
              <w:rPr>
                <w:rFonts w:ascii="宋体" w:hAnsi="宋体" w:cs="宋体"/>
                <w:color w:val="000000"/>
                <w:kern w:val="0"/>
                <w:szCs w:val="21"/>
              </w:rPr>
            </w:pPr>
            <w:r>
              <w:rPr>
                <w:rFonts w:ascii="宋体" w:hAnsi="宋体" w:cs="宋体"/>
                <w:color w:val="000000"/>
                <w:kern w:val="0"/>
                <w:szCs w:val="21"/>
              </w:rPr>
              <w:t>C2614</w:t>
            </w:r>
            <w:r>
              <w:rPr>
                <w:rFonts w:hint="eastAsia" w:ascii="宋体" w:hAnsi="宋体" w:cs="宋体"/>
                <w:color w:val="000000"/>
                <w:kern w:val="0"/>
                <w:szCs w:val="21"/>
              </w:rPr>
              <w:t>有机化学原料制造</w:t>
            </w:r>
          </w:p>
        </w:tc>
        <w:tc>
          <w:tcPr>
            <w:tcW w:w="446" w:type="pct"/>
            <w:vAlign w:val="center"/>
          </w:tcPr>
          <w:p w14:paraId="424F60EF">
            <w:pPr>
              <w:widowControl/>
              <w:jc w:val="center"/>
              <w:rPr>
                <w:rFonts w:ascii="宋体" w:hAnsi="宋体" w:cs="宋体"/>
                <w:color w:val="000000"/>
                <w:kern w:val="0"/>
                <w:szCs w:val="21"/>
              </w:rPr>
            </w:pPr>
            <w:r>
              <w:rPr>
                <w:rFonts w:hint="eastAsia" w:ascii="宋体" w:hAnsi="宋体" w:cs="宋体"/>
                <w:color w:val="000000"/>
                <w:kern w:val="0"/>
                <w:szCs w:val="21"/>
              </w:rPr>
              <w:t>新增</w:t>
            </w:r>
          </w:p>
        </w:tc>
      </w:tr>
      <w:tr w14:paraId="1BFD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shd w:val="clear" w:color="auto" w:fill="auto"/>
            <w:noWrap/>
            <w:vAlign w:val="center"/>
          </w:tcPr>
          <w:p w14:paraId="24FF2C1A">
            <w:pPr>
              <w:jc w:val="center"/>
              <w:rPr>
                <w:rFonts w:ascii="宋体" w:hAnsi="宋体" w:cs="宋体"/>
                <w:color w:val="000000"/>
                <w:kern w:val="0"/>
                <w:szCs w:val="21"/>
              </w:rPr>
            </w:pPr>
            <w:r>
              <w:rPr>
                <w:rFonts w:hint="eastAsia" w:ascii="宋体" w:hAnsi="宋体" w:cs="宋体"/>
                <w:color w:val="000000"/>
                <w:kern w:val="0"/>
                <w:szCs w:val="21"/>
              </w:rPr>
              <w:t>20</w:t>
            </w:r>
          </w:p>
        </w:tc>
        <w:tc>
          <w:tcPr>
            <w:tcW w:w="766" w:type="pct"/>
          </w:tcPr>
          <w:p w14:paraId="4915760D">
            <w:pPr>
              <w:jc w:val="center"/>
            </w:pPr>
            <w:r>
              <w:rPr>
                <w:rFonts w:hint="eastAsia" w:ascii="宋体" w:hAnsi="宋体" w:cs="宋体"/>
                <w:color w:val="000000"/>
                <w:kern w:val="0"/>
                <w:szCs w:val="21"/>
              </w:rPr>
              <w:t>/</w:t>
            </w:r>
          </w:p>
        </w:tc>
        <w:tc>
          <w:tcPr>
            <w:tcW w:w="997" w:type="pct"/>
            <w:vAlign w:val="center"/>
          </w:tcPr>
          <w:p w14:paraId="5A2614B1">
            <w:pPr>
              <w:jc w:val="center"/>
              <w:rPr>
                <w:rFonts w:ascii="宋体" w:hAnsi="宋体" w:cs="宋体"/>
                <w:color w:val="000000"/>
                <w:kern w:val="0"/>
                <w:szCs w:val="21"/>
              </w:rPr>
            </w:pPr>
            <w:r>
              <w:rPr>
                <w:rFonts w:ascii="宋体" w:hAnsi="宋体" w:cs="宋体"/>
                <w:color w:val="000000"/>
                <w:kern w:val="0"/>
                <w:szCs w:val="21"/>
              </w:rPr>
              <w:t>DOP</w:t>
            </w:r>
          </w:p>
        </w:tc>
        <w:tc>
          <w:tcPr>
            <w:tcW w:w="914" w:type="pct"/>
            <w:vAlign w:val="center"/>
          </w:tcPr>
          <w:p w14:paraId="6CA38C8E">
            <w:pPr>
              <w:jc w:val="center"/>
              <w:rPr>
                <w:rFonts w:ascii="宋体" w:hAnsi="宋体" w:cs="宋体"/>
                <w:color w:val="000000"/>
                <w:kern w:val="0"/>
                <w:szCs w:val="21"/>
              </w:rPr>
            </w:pPr>
            <w:r>
              <w:rPr>
                <w:rFonts w:hint="eastAsia" w:ascii="宋体" w:hAnsi="宋体" w:cs="宋体"/>
                <w:color w:val="000000"/>
                <w:kern w:val="0"/>
                <w:szCs w:val="21"/>
              </w:rPr>
              <w:t>/</w:t>
            </w:r>
          </w:p>
        </w:tc>
        <w:tc>
          <w:tcPr>
            <w:tcW w:w="1498" w:type="pct"/>
            <w:vAlign w:val="center"/>
          </w:tcPr>
          <w:p w14:paraId="0EC12C55">
            <w:pPr>
              <w:jc w:val="center"/>
              <w:rPr>
                <w:rFonts w:ascii="宋体" w:hAnsi="宋体" w:cs="宋体"/>
                <w:color w:val="000000"/>
                <w:kern w:val="0"/>
                <w:szCs w:val="21"/>
              </w:rPr>
            </w:pPr>
            <w:r>
              <w:rPr>
                <w:rFonts w:ascii="宋体" w:hAnsi="宋体" w:cs="宋体"/>
                <w:color w:val="000000"/>
                <w:kern w:val="0"/>
                <w:szCs w:val="21"/>
              </w:rPr>
              <w:t>C2614</w:t>
            </w:r>
            <w:r>
              <w:rPr>
                <w:rFonts w:hint="eastAsia" w:ascii="宋体" w:hAnsi="宋体" w:cs="宋体"/>
                <w:color w:val="000000"/>
                <w:kern w:val="0"/>
                <w:szCs w:val="21"/>
              </w:rPr>
              <w:t>有机化学原料制造</w:t>
            </w:r>
          </w:p>
        </w:tc>
        <w:tc>
          <w:tcPr>
            <w:tcW w:w="446" w:type="pct"/>
            <w:vAlign w:val="center"/>
          </w:tcPr>
          <w:p w14:paraId="679FF007">
            <w:pPr>
              <w:widowControl/>
              <w:jc w:val="center"/>
              <w:rPr>
                <w:rFonts w:ascii="宋体" w:hAnsi="宋体" w:cs="宋体"/>
                <w:color w:val="000000"/>
                <w:kern w:val="0"/>
                <w:szCs w:val="21"/>
              </w:rPr>
            </w:pPr>
            <w:r>
              <w:rPr>
                <w:rFonts w:hint="eastAsia" w:ascii="宋体" w:hAnsi="宋体" w:cs="宋体"/>
                <w:color w:val="000000"/>
                <w:kern w:val="0"/>
                <w:szCs w:val="21"/>
              </w:rPr>
              <w:t>新增</w:t>
            </w:r>
          </w:p>
        </w:tc>
      </w:tr>
      <w:tr w14:paraId="3C71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shd w:val="clear" w:color="auto" w:fill="auto"/>
            <w:noWrap/>
            <w:vAlign w:val="center"/>
          </w:tcPr>
          <w:p w14:paraId="716376B7">
            <w:pPr>
              <w:jc w:val="center"/>
              <w:rPr>
                <w:rFonts w:ascii="宋体" w:hAnsi="宋体" w:cs="宋体"/>
                <w:color w:val="000000"/>
                <w:kern w:val="0"/>
                <w:szCs w:val="21"/>
              </w:rPr>
            </w:pPr>
            <w:r>
              <w:rPr>
                <w:rFonts w:hint="eastAsia" w:ascii="宋体" w:hAnsi="宋体" w:cs="宋体"/>
                <w:color w:val="000000"/>
                <w:kern w:val="0"/>
                <w:szCs w:val="21"/>
              </w:rPr>
              <w:t>21</w:t>
            </w:r>
          </w:p>
        </w:tc>
        <w:tc>
          <w:tcPr>
            <w:tcW w:w="766" w:type="pct"/>
          </w:tcPr>
          <w:p w14:paraId="2C3F616A">
            <w:pPr>
              <w:jc w:val="center"/>
            </w:pPr>
            <w:r>
              <w:rPr>
                <w:rFonts w:hint="eastAsia" w:ascii="宋体" w:hAnsi="宋体" w:cs="宋体"/>
                <w:color w:val="000000"/>
                <w:kern w:val="0"/>
                <w:szCs w:val="21"/>
              </w:rPr>
              <w:t>/</w:t>
            </w:r>
          </w:p>
        </w:tc>
        <w:tc>
          <w:tcPr>
            <w:tcW w:w="997" w:type="pct"/>
            <w:vAlign w:val="center"/>
          </w:tcPr>
          <w:p w14:paraId="54D0B1F9">
            <w:pPr>
              <w:jc w:val="center"/>
              <w:rPr>
                <w:rFonts w:ascii="宋体" w:hAnsi="宋体" w:cs="宋体"/>
                <w:color w:val="000000"/>
                <w:kern w:val="0"/>
                <w:szCs w:val="21"/>
              </w:rPr>
            </w:pPr>
            <w:r>
              <w:rPr>
                <w:rFonts w:hint="eastAsia" w:ascii="宋体" w:hAnsi="宋体" w:cs="宋体"/>
                <w:color w:val="000000"/>
                <w:kern w:val="0"/>
                <w:szCs w:val="21"/>
              </w:rPr>
              <w:t>丁二烯</w:t>
            </w:r>
          </w:p>
        </w:tc>
        <w:tc>
          <w:tcPr>
            <w:tcW w:w="914" w:type="pct"/>
            <w:vAlign w:val="center"/>
          </w:tcPr>
          <w:p w14:paraId="68A95FFC">
            <w:pPr>
              <w:jc w:val="center"/>
              <w:rPr>
                <w:rFonts w:ascii="宋体" w:hAnsi="宋体" w:cs="宋体"/>
                <w:color w:val="000000"/>
                <w:kern w:val="0"/>
                <w:szCs w:val="21"/>
              </w:rPr>
            </w:pPr>
            <w:r>
              <w:rPr>
                <w:rFonts w:hint="eastAsia" w:ascii="宋体" w:hAnsi="宋体" w:cs="宋体"/>
                <w:color w:val="000000"/>
                <w:kern w:val="0"/>
                <w:szCs w:val="21"/>
              </w:rPr>
              <w:t>/</w:t>
            </w:r>
          </w:p>
        </w:tc>
        <w:tc>
          <w:tcPr>
            <w:tcW w:w="1498" w:type="pct"/>
            <w:vAlign w:val="center"/>
          </w:tcPr>
          <w:p w14:paraId="1A72448A">
            <w:pPr>
              <w:jc w:val="center"/>
              <w:rPr>
                <w:rFonts w:ascii="宋体" w:hAnsi="宋体" w:cs="宋体"/>
                <w:color w:val="000000"/>
                <w:kern w:val="0"/>
                <w:szCs w:val="21"/>
              </w:rPr>
            </w:pPr>
            <w:r>
              <w:rPr>
                <w:rFonts w:ascii="宋体" w:hAnsi="宋体" w:cs="宋体"/>
                <w:color w:val="000000"/>
                <w:kern w:val="0"/>
                <w:szCs w:val="21"/>
              </w:rPr>
              <w:t>C2614</w:t>
            </w:r>
            <w:r>
              <w:rPr>
                <w:rFonts w:hint="eastAsia" w:ascii="宋体" w:hAnsi="宋体" w:cs="宋体"/>
                <w:color w:val="000000"/>
                <w:kern w:val="0"/>
                <w:szCs w:val="21"/>
              </w:rPr>
              <w:t>有机化学原料制造</w:t>
            </w:r>
          </w:p>
        </w:tc>
        <w:tc>
          <w:tcPr>
            <w:tcW w:w="446" w:type="pct"/>
            <w:vAlign w:val="center"/>
          </w:tcPr>
          <w:p w14:paraId="624DE7DE">
            <w:pPr>
              <w:widowControl/>
              <w:jc w:val="center"/>
              <w:rPr>
                <w:rFonts w:ascii="宋体" w:hAnsi="宋体" w:cs="宋体"/>
                <w:color w:val="000000"/>
                <w:kern w:val="0"/>
                <w:szCs w:val="21"/>
              </w:rPr>
            </w:pPr>
            <w:r>
              <w:rPr>
                <w:rFonts w:hint="eastAsia" w:ascii="宋体" w:hAnsi="宋体" w:cs="宋体"/>
                <w:color w:val="000000"/>
                <w:kern w:val="0"/>
                <w:szCs w:val="21"/>
              </w:rPr>
              <w:t>新增</w:t>
            </w:r>
          </w:p>
        </w:tc>
      </w:tr>
      <w:tr w14:paraId="1F296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shd w:val="clear" w:color="auto" w:fill="auto"/>
            <w:noWrap/>
            <w:vAlign w:val="center"/>
          </w:tcPr>
          <w:p w14:paraId="3AE06583">
            <w:pPr>
              <w:jc w:val="center"/>
              <w:rPr>
                <w:rFonts w:ascii="宋体" w:hAnsi="宋体" w:cs="宋体"/>
                <w:color w:val="000000"/>
                <w:kern w:val="0"/>
                <w:szCs w:val="21"/>
              </w:rPr>
            </w:pPr>
            <w:r>
              <w:rPr>
                <w:rFonts w:hint="eastAsia" w:ascii="宋体" w:hAnsi="宋体" w:cs="宋体"/>
                <w:color w:val="000000"/>
                <w:kern w:val="0"/>
                <w:szCs w:val="21"/>
              </w:rPr>
              <w:t>22</w:t>
            </w:r>
          </w:p>
        </w:tc>
        <w:tc>
          <w:tcPr>
            <w:tcW w:w="766" w:type="pct"/>
          </w:tcPr>
          <w:p w14:paraId="1B6DF71E">
            <w:pPr>
              <w:jc w:val="center"/>
            </w:pPr>
            <w:r>
              <w:rPr>
                <w:rFonts w:hint="eastAsia" w:ascii="宋体" w:hAnsi="宋体" w:cs="宋体"/>
                <w:color w:val="000000"/>
                <w:kern w:val="0"/>
                <w:szCs w:val="21"/>
              </w:rPr>
              <w:t>/</w:t>
            </w:r>
          </w:p>
        </w:tc>
        <w:tc>
          <w:tcPr>
            <w:tcW w:w="997" w:type="pct"/>
            <w:vAlign w:val="center"/>
          </w:tcPr>
          <w:p w14:paraId="5C84FE76">
            <w:pPr>
              <w:jc w:val="center"/>
              <w:rPr>
                <w:rFonts w:ascii="宋体" w:hAnsi="宋体" w:cs="宋体"/>
                <w:color w:val="000000"/>
                <w:kern w:val="0"/>
                <w:szCs w:val="21"/>
              </w:rPr>
            </w:pPr>
            <w:r>
              <w:rPr>
                <w:rFonts w:hint="eastAsia" w:ascii="宋体" w:hAnsi="宋体" w:cs="宋体"/>
                <w:color w:val="000000"/>
                <w:kern w:val="0"/>
                <w:szCs w:val="21"/>
              </w:rPr>
              <w:t>环氧乙烷</w:t>
            </w:r>
          </w:p>
        </w:tc>
        <w:tc>
          <w:tcPr>
            <w:tcW w:w="914" w:type="pct"/>
            <w:vAlign w:val="center"/>
          </w:tcPr>
          <w:p w14:paraId="1CDEE702">
            <w:pPr>
              <w:jc w:val="center"/>
              <w:rPr>
                <w:rFonts w:ascii="宋体" w:hAnsi="宋体" w:cs="宋体"/>
                <w:color w:val="000000"/>
                <w:kern w:val="0"/>
                <w:szCs w:val="21"/>
              </w:rPr>
            </w:pPr>
            <w:r>
              <w:rPr>
                <w:rFonts w:hint="eastAsia" w:ascii="宋体" w:hAnsi="宋体" w:cs="宋体"/>
                <w:color w:val="000000"/>
                <w:kern w:val="0"/>
                <w:szCs w:val="21"/>
              </w:rPr>
              <w:t>/</w:t>
            </w:r>
          </w:p>
        </w:tc>
        <w:tc>
          <w:tcPr>
            <w:tcW w:w="1498" w:type="pct"/>
            <w:vAlign w:val="center"/>
          </w:tcPr>
          <w:p w14:paraId="51770604">
            <w:pPr>
              <w:jc w:val="center"/>
              <w:rPr>
                <w:rFonts w:ascii="宋体" w:hAnsi="宋体" w:cs="宋体"/>
                <w:color w:val="000000"/>
                <w:kern w:val="0"/>
                <w:szCs w:val="21"/>
              </w:rPr>
            </w:pPr>
            <w:r>
              <w:rPr>
                <w:rFonts w:ascii="宋体" w:hAnsi="宋体" w:cs="宋体"/>
                <w:color w:val="000000"/>
                <w:kern w:val="0"/>
                <w:szCs w:val="21"/>
              </w:rPr>
              <w:t>C2614</w:t>
            </w:r>
            <w:r>
              <w:rPr>
                <w:rFonts w:hint="eastAsia" w:ascii="宋体" w:hAnsi="宋体" w:cs="宋体"/>
                <w:color w:val="000000"/>
                <w:kern w:val="0"/>
                <w:szCs w:val="21"/>
              </w:rPr>
              <w:t>有机化学原料制造</w:t>
            </w:r>
          </w:p>
        </w:tc>
        <w:tc>
          <w:tcPr>
            <w:tcW w:w="446" w:type="pct"/>
            <w:vAlign w:val="center"/>
          </w:tcPr>
          <w:p w14:paraId="1F067C77">
            <w:pPr>
              <w:widowControl/>
              <w:jc w:val="center"/>
              <w:rPr>
                <w:rFonts w:ascii="宋体" w:hAnsi="宋体" w:cs="宋体"/>
                <w:color w:val="000000"/>
                <w:kern w:val="0"/>
                <w:szCs w:val="21"/>
              </w:rPr>
            </w:pPr>
            <w:r>
              <w:rPr>
                <w:rFonts w:hint="eastAsia" w:ascii="宋体" w:hAnsi="宋体" w:cs="宋体"/>
                <w:color w:val="000000"/>
                <w:kern w:val="0"/>
                <w:szCs w:val="21"/>
              </w:rPr>
              <w:t>新增</w:t>
            </w:r>
          </w:p>
        </w:tc>
      </w:tr>
      <w:tr w14:paraId="2642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shd w:val="clear" w:color="auto" w:fill="auto"/>
            <w:noWrap/>
            <w:vAlign w:val="center"/>
          </w:tcPr>
          <w:p w14:paraId="2FF40AA5">
            <w:pPr>
              <w:jc w:val="center"/>
              <w:rPr>
                <w:rFonts w:ascii="宋体" w:hAnsi="宋体" w:cs="宋体"/>
                <w:color w:val="000000"/>
                <w:kern w:val="0"/>
                <w:szCs w:val="21"/>
              </w:rPr>
            </w:pPr>
            <w:r>
              <w:rPr>
                <w:rFonts w:hint="eastAsia" w:ascii="宋体" w:hAnsi="宋体" w:cs="宋体"/>
                <w:color w:val="000000"/>
                <w:kern w:val="0"/>
                <w:szCs w:val="21"/>
              </w:rPr>
              <w:t>23</w:t>
            </w:r>
          </w:p>
        </w:tc>
        <w:tc>
          <w:tcPr>
            <w:tcW w:w="766" w:type="pct"/>
            <w:vAlign w:val="center"/>
          </w:tcPr>
          <w:p w14:paraId="4E2B8E7D">
            <w:pPr>
              <w:jc w:val="center"/>
            </w:pPr>
            <w:r>
              <w:rPr>
                <w:rFonts w:hint="eastAsia" w:ascii="宋体" w:hAnsi="宋体" w:cs="宋体"/>
                <w:color w:val="000000"/>
                <w:kern w:val="0"/>
                <w:szCs w:val="21"/>
              </w:rPr>
              <w:t>/</w:t>
            </w:r>
          </w:p>
        </w:tc>
        <w:tc>
          <w:tcPr>
            <w:tcW w:w="997" w:type="pct"/>
            <w:vAlign w:val="center"/>
          </w:tcPr>
          <w:p w14:paraId="686F9D71">
            <w:pPr>
              <w:widowControl/>
              <w:jc w:val="center"/>
              <w:rPr>
                <w:rFonts w:ascii="宋体" w:hAnsi="宋体" w:cs="宋体"/>
                <w:color w:val="000000"/>
                <w:kern w:val="0"/>
                <w:szCs w:val="21"/>
              </w:rPr>
            </w:pPr>
            <w:r>
              <w:rPr>
                <w:rFonts w:hint="eastAsia" w:ascii="宋体" w:hAnsi="宋体" w:cs="宋体"/>
                <w:color w:val="000000"/>
                <w:kern w:val="0"/>
                <w:szCs w:val="21"/>
              </w:rPr>
              <w:t>人用狂犬病疫苗</w:t>
            </w:r>
          </w:p>
        </w:tc>
        <w:tc>
          <w:tcPr>
            <w:tcW w:w="914" w:type="pct"/>
            <w:vAlign w:val="center"/>
          </w:tcPr>
          <w:p w14:paraId="12D1BF9D">
            <w:pPr>
              <w:jc w:val="center"/>
              <w:rPr>
                <w:rFonts w:ascii="宋体" w:hAnsi="宋体" w:cs="宋体"/>
                <w:color w:val="000000"/>
                <w:kern w:val="0"/>
                <w:szCs w:val="21"/>
              </w:rPr>
            </w:pPr>
            <w:r>
              <w:rPr>
                <w:rFonts w:ascii="宋体" w:hAnsi="宋体" w:cs="宋体"/>
                <w:color w:val="000000"/>
                <w:kern w:val="0"/>
                <w:szCs w:val="21"/>
              </w:rPr>
              <w:t>/</w:t>
            </w:r>
          </w:p>
        </w:tc>
        <w:tc>
          <w:tcPr>
            <w:tcW w:w="1498" w:type="pct"/>
            <w:vAlign w:val="center"/>
          </w:tcPr>
          <w:p w14:paraId="63DDFE80">
            <w:pPr>
              <w:jc w:val="center"/>
              <w:rPr>
                <w:rFonts w:ascii="宋体" w:hAnsi="宋体" w:cs="宋体"/>
                <w:color w:val="000000"/>
                <w:kern w:val="0"/>
                <w:szCs w:val="21"/>
              </w:rPr>
            </w:pPr>
            <w:r>
              <w:rPr>
                <w:rFonts w:ascii="宋体" w:hAnsi="宋体" w:cs="宋体"/>
                <w:color w:val="000000"/>
                <w:kern w:val="0"/>
                <w:szCs w:val="21"/>
              </w:rPr>
              <w:t>C2762</w:t>
            </w:r>
            <w:r>
              <w:rPr>
                <w:rFonts w:hint="eastAsia" w:ascii="宋体" w:hAnsi="宋体" w:cs="宋体"/>
                <w:color w:val="000000"/>
                <w:kern w:val="0"/>
                <w:szCs w:val="21"/>
              </w:rPr>
              <w:t>基因工程药物和疫苗制造</w:t>
            </w:r>
          </w:p>
        </w:tc>
        <w:tc>
          <w:tcPr>
            <w:tcW w:w="446" w:type="pct"/>
            <w:vAlign w:val="center"/>
          </w:tcPr>
          <w:p w14:paraId="7B8BFD3C">
            <w:pPr>
              <w:widowControl/>
              <w:jc w:val="center"/>
              <w:rPr>
                <w:rFonts w:ascii="宋体" w:hAnsi="宋体" w:cs="宋体"/>
                <w:color w:val="000000"/>
                <w:kern w:val="0"/>
                <w:szCs w:val="21"/>
              </w:rPr>
            </w:pPr>
            <w:r>
              <w:rPr>
                <w:rFonts w:hint="eastAsia" w:ascii="宋体" w:hAnsi="宋体" w:cs="宋体"/>
                <w:color w:val="000000"/>
                <w:kern w:val="0"/>
                <w:szCs w:val="21"/>
              </w:rPr>
              <w:t>新增</w:t>
            </w:r>
          </w:p>
        </w:tc>
      </w:tr>
      <w:tr w14:paraId="0F1A9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shd w:val="clear" w:color="auto" w:fill="auto"/>
            <w:noWrap/>
            <w:vAlign w:val="center"/>
          </w:tcPr>
          <w:p w14:paraId="3BAC521B">
            <w:pPr>
              <w:jc w:val="center"/>
              <w:rPr>
                <w:rFonts w:ascii="宋体" w:hAnsi="宋体" w:cs="宋体"/>
                <w:color w:val="000000"/>
                <w:kern w:val="0"/>
                <w:szCs w:val="21"/>
              </w:rPr>
            </w:pPr>
            <w:r>
              <w:rPr>
                <w:rFonts w:hint="eastAsia" w:ascii="宋体" w:hAnsi="宋体" w:cs="宋体"/>
                <w:color w:val="000000"/>
                <w:kern w:val="0"/>
                <w:szCs w:val="21"/>
              </w:rPr>
              <w:t>24</w:t>
            </w:r>
          </w:p>
        </w:tc>
        <w:tc>
          <w:tcPr>
            <w:tcW w:w="766" w:type="pct"/>
            <w:vAlign w:val="center"/>
          </w:tcPr>
          <w:p w14:paraId="0B72BEFB">
            <w:pPr>
              <w:jc w:val="center"/>
              <w:rPr>
                <w:rFonts w:ascii="宋体" w:hAnsi="宋体" w:cs="宋体"/>
                <w:color w:val="000000"/>
                <w:kern w:val="0"/>
                <w:szCs w:val="21"/>
              </w:rPr>
            </w:pPr>
            <w:r>
              <w:rPr>
                <w:rFonts w:hint="eastAsia" w:ascii="宋体" w:hAnsi="宋体" w:cs="宋体"/>
                <w:color w:val="000000"/>
                <w:kern w:val="0"/>
                <w:szCs w:val="21"/>
              </w:rPr>
              <w:t>/</w:t>
            </w:r>
          </w:p>
        </w:tc>
        <w:tc>
          <w:tcPr>
            <w:tcW w:w="997" w:type="pct"/>
            <w:vAlign w:val="center"/>
          </w:tcPr>
          <w:p w14:paraId="4E795484">
            <w:pPr>
              <w:jc w:val="center"/>
              <w:rPr>
                <w:rFonts w:ascii="宋体" w:hAnsi="宋体" w:cs="宋体"/>
                <w:kern w:val="0"/>
                <w:sz w:val="18"/>
                <w:szCs w:val="18"/>
                <w:lang w:bidi="ar"/>
              </w:rPr>
            </w:pPr>
            <w:r>
              <w:rPr>
                <w:rFonts w:hint="eastAsia" w:ascii="宋体" w:hAnsi="宋体" w:cs="宋体"/>
                <w:color w:val="000000"/>
                <w:kern w:val="0"/>
                <w:szCs w:val="21"/>
              </w:rPr>
              <w:t>合成石材</w:t>
            </w:r>
          </w:p>
        </w:tc>
        <w:tc>
          <w:tcPr>
            <w:tcW w:w="914" w:type="pct"/>
            <w:vAlign w:val="center"/>
          </w:tcPr>
          <w:p w14:paraId="47E7CD8F">
            <w:pPr>
              <w:jc w:val="center"/>
              <w:rPr>
                <w:rFonts w:ascii="宋体" w:hAnsi="宋体" w:cs="宋体"/>
                <w:color w:val="000000"/>
                <w:kern w:val="0"/>
                <w:szCs w:val="21"/>
              </w:rPr>
            </w:pPr>
            <w:r>
              <w:rPr>
                <w:rFonts w:ascii="宋体" w:hAnsi="宋体" w:cs="宋体"/>
                <w:color w:val="000000"/>
                <w:kern w:val="0"/>
                <w:szCs w:val="21"/>
              </w:rPr>
              <w:t>/</w:t>
            </w:r>
          </w:p>
        </w:tc>
        <w:tc>
          <w:tcPr>
            <w:tcW w:w="1498" w:type="pct"/>
            <w:vAlign w:val="center"/>
          </w:tcPr>
          <w:p w14:paraId="5DECFF3C">
            <w:pPr>
              <w:jc w:val="center"/>
              <w:rPr>
                <w:rFonts w:ascii="宋体" w:hAnsi="宋体" w:cs="宋体"/>
                <w:color w:val="000000"/>
                <w:kern w:val="0"/>
                <w:szCs w:val="21"/>
              </w:rPr>
            </w:pPr>
            <w:r>
              <w:rPr>
                <w:rFonts w:ascii="宋体" w:hAnsi="宋体" w:cs="宋体"/>
                <w:color w:val="000000"/>
                <w:kern w:val="0"/>
                <w:szCs w:val="21"/>
              </w:rPr>
              <w:t>C3032</w:t>
            </w:r>
            <w:r>
              <w:rPr>
                <w:rFonts w:hint="eastAsia" w:ascii="宋体" w:hAnsi="宋体" w:cs="宋体"/>
                <w:color w:val="000000"/>
                <w:kern w:val="0"/>
                <w:szCs w:val="21"/>
              </w:rPr>
              <w:t>建筑用石加工</w:t>
            </w:r>
          </w:p>
        </w:tc>
        <w:tc>
          <w:tcPr>
            <w:tcW w:w="446" w:type="pct"/>
            <w:vAlign w:val="center"/>
          </w:tcPr>
          <w:p w14:paraId="732457AD">
            <w:pPr>
              <w:widowControl/>
              <w:jc w:val="center"/>
              <w:rPr>
                <w:rFonts w:ascii="宋体" w:hAnsi="宋体" w:cs="宋体"/>
                <w:color w:val="000000"/>
                <w:kern w:val="0"/>
                <w:szCs w:val="21"/>
              </w:rPr>
            </w:pPr>
            <w:r>
              <w:rPr>
                <w:rFonts w:hint="eastAsia" w:ascii="宋体" w:hAnsi="宋体" w:cs="宋体"/>
                <w:color w:val="000000"/>
                <w:kern w:val="0"/>
                <w:szCs w:val="21"/>
              </w:rPr>
              <w:t>新增</w:t>
            </w:r>
          </w:p>
        </w:tc>
      </w:tr>
      <w:tr w14:paraId="4082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shd w:val="clear" w:color="auto" w:fill="auto"/>
            <w:noWrap/>
            <w:vAlign w:val="center"/>
          </w:tcPr>
          <w:p w14:paraId="6437AA73">
            <w:pPr>
              <w:jc w:val="center"/>
              <w:rPr>
                <w:rFonts w:ascii="宋体" w:hAnsi="宋体" w:cs="宋体"/>
                <w:color w:val="000000"/>
                <w:kern w:val="0"/>
                <w:szCs w:val="21"/>
              </w:rPr>
            </w:pPr>
            <w:r>
              <w:rPr>
                <w:rFonts w:hint="eastAsia" w:ascii="宋体" w:hAnsi="宋体" w:cs="宋体"/>
                <w:color w:val="000000"/>
                <w:kern w:val="0"/>
                <w:szCs w:val="21"/>
              </w:rPr>
              <w:t>25</w:t>
            </w:r>
          </w:p>
        </w:tc>
        <w:tc>
          <w:tcPr>
            <w:tcW w:w="766" w:type="pct"/>
            <w:vAlign w:val="center"/>
          </w:tcPr>
          <w:p w14:paraId="0E445BE5">
            <w:pPr>
              <w:jc w:val="center"/>
              <w:rPr>
                <w:rFonts w:ascii="宋体" w:hAnsi="宋体" w:cs="宋体"/>
                <w:color w:val="000000"/>
                <w:kern w:val="0"/>
                <w:szCs w:val="21"/>
              </w:rPr>
            </w:pPr>
            <w:r>
              <w:rPr>
                <w:rFonts w:ascii="宋体" w:hAnsi="宋体" w:cs="宋体"/>
                <w:color w:val="000000"/>
                <w:kern w:val="0"/>
                <w:szCs w:val="21"/>
              </w:rPr>
              <w:t>/</w:t>
            </w:r>
          </w:p>
        </w:tc>
        <w:tc>
          <w:tcPr>
            <w:tcW w:w="997" w:type="pct"/>
            <w:vAlign w:val="center"/>
          </w:tcPr>
          <w:p w14:paraId="5B3B5DA8">
            <w:pPr>
              <w:widowControl/>
              <w:jc w:val="center"/>
              <w:rPr>
                <w:rFonts w:ascii="宋体" w:hAnsi="宋体" w:cs="宋体"/>
                <w:color w:val="000000"/>
                <w:kern w:val="0"/>
                <w:szCs w:val="21"/>
              </w:rPr>
            </w:pPr>
            <w:r>
              <w:rPr>
                <w:rFonts w:hint="eastAsia" w:ascii="宋体" w:hAnsi="宋体" w:cs="宋体"/>
                <w:color w:val="000000"/>
                <w:kern w:val="0"/>
                <w:szCs w:val="21"/>
              </w:rPr>
              <w:t>硅片</w:t>
            </w:r>
          </w:p>
        </w:tc>
        <w:tc>
          <w:tcPr>
            <w:tcW w:w="914" w:type="pct"/>
            <w:vAlign w:val="center"/>
          </w:tcPr>
          <w:p w14:paraId="397BDB8D">
            <w:pPr>
              <w:jc w:val="center"/>
              <w:rPr>
                <w:rFonts w:ascii="宋体" w:hAnsi="宋体" w:cs="宋体"/>
                <w:color w:val="000000"/>
                <w:kern w:val="0"/>
                <w:szCs w:val="21"/>
              </w:rPr>
            </w:pPr>
            <w:r>
              <w:rPr>
                <w:rFonts w:ascii="宋体" w:hAnsi="宋体" w:cs="宋体"/>
                <w:color w:val="000000"/>
                <w:kern w:val="0"/>
                <w:szCs w:val="21"/>
              </w:rPr>
              <w:t>/</w:t>
            </w:r>
          </w:p>
        </w:tc>
        <w:tc>
          <w:tcPr>
            <w:tcW w:w="1498" w:type="pct"/>
            <w:vAlign w:val="center"/>
          </w:tcPr>
          <w:p w14:paraId="45467EE4">
            <w:pPr>
              <w:jc w:val="center"/>
              <w:rPr>
                <w:rFonts w:ascii="宋体" w:hAnsi="宋体" w:cs="宋体"/>
                <w:color w:val="000000"/>
                <w:kern w:val="0"/>
                <w:szCs w:val="21"/>
              </w:rPr>
            </w:pPr>
            <w:r>
              <w:rPr>
                <w:rFonts w:ascii="宋体" w:hAnsi="宋体" w:cs="宋体"/>
                <w:color w:val="000000"/>
                <w:kern w:val="0"/>
                <w:szCs w:val="21"/>
              </w:rPr>
              <w:t>C3099</w:t>
            </w:r>
            <w:r>
              <w:rPr>
                <w:rFonts w:hint="eastAsia" w:ascii="宋体" w:hAnsi="宋体" w:cs="宋体"/>
                <w:color w:val="000000"/>
                <w:kern w:val="0"/>
                <w:szCs w:val="21"/>
              </w:rPr>
              <w:t>其他非金属矿物制造</w:t>
            </w:r>
          </w:p>
        </w:tc>
        <w:tc>
          <w:tcPr>
            <w:tcW w:w="446" w:type="pct"/>
            <w:vAlign w:val="center"/>
          </w:tcPr>
          <w:p w14:paraId="78436F1F">
            <w:pPr>
              <w:widowControl/>
              <w:jc w:val="center"/>
              <w:rPr>
                <w:rFonts w:ascii="宋体" w:hAnsi="宋体" w:cs="宋体"/>
                <w:color w:val="000000"/>
                <w:kern w:val="0"/>
                <w:szCs w:val="21"/>
              </w:rPr>
            </w:pPr>
            <w:r>
              <w:rPr>
                <w:rFonts w:hint="eastAsia" w:ascii="宋体" w:hAnsi="宋体" w:cs="宋体"/>
                <w:color w:val="000000"/>
                <w:kern w:val="0"/>
                <w:szCs w:val="21"/>
              </w:rPr>
              <w:t>新增</w:t>
            </w:r>
          </w:p>
        </w:tc>
      </w:tr>
      <w:tr w14:paraId="22862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shd w:val="clear" w:color="auto" w:fill="auto"/>
            <w:noWrap/>
            <w:vAlign w:val="center"/>
          </w:tcPr>
          <w:p w14:paraId="32139DE5">
            <w:pPr>
              <w:jc w:val="center"/>
              <w:rPr>
                <w:rFonts w:ascii="宋体" w:hAnsi="宋体" w:cs="宋体"/>
                <w:color w:val="000000"/>
                <w:kern w:val="0"/>
                <w:szCs w:val="21"/>
              </w:rPr>
            </w:pPr>
            <w:r>
              <w:rPr>
                <w:rFonts w:hint="eastAsia" w:ascii="宋体" w:hAnsi="宋体" w:cs="宋体"/>
                <w:color w:val="000000"/>
                <w:kern w:val="0"/>
                <w:szCs w:val="21"/>
              </w:rPr>
              <w:t>26</w:t>
            </w:r>
          </w:p>
        </w:tc>
        <w:tc>
          <w:tcPr>
            <w:tcW w:w="766" w:type="pct"/>
            <w:vAlign w:val="center"/>
          </w:tcPr>
          <w:p w14:paraId="5ABF4ECC">
            <w:pPr>
              <w:jc w:val="center"/>
              <w:rPr>
                <w:rFonts w:ascii="宋体" w:hAnsi="宋体" w:cs="宋体"/>
                <w:color w:val="000000"/>
                <w:kern w:val="0"/>
                <w:szCs w:val="21"/>
              </w:rPr>
            </w:pPr>
            <w:r>
              <w:rPr>
                <w:rFonts w:ascii="宋体" w:hAnsi="宋体" w:cs="宋体"/>
                <w:color w:val="000000"/>
                <w:kern w:val="0"/>
                <w:szCs w:val="21"/>
              </w:rPr>
              <w:t>/</w:t>
            </w:r>
          </w:p>
        </w:tc>
        <w:tc>
          <w:tcPr>
            <w:tcW w:w="997" w:type="pct"/>
            <w:vAlign w:val="center"/>
          </w:tcPr>
          <w:p w14:paraId="7712EE20">
            <w:pPr>
              <w:widowControl/>
              <w:jc w:val="center"/>
              <w:rPr>
                <w:rFonts w:ascii="宋体" w:hAnsi="宋体" w:cs="宋体"/>
                <w:color w:val="000000"/>
                <w:kern w:val="0"/>
                <w:szCs w:val="21"/>
              </w:rPr>
            </w:pPr>
            <w:r>
              <w:rPr>
                <w:rFonts w:hint="eastAsia" w:ascii="宋体" w:hAnsi="宋体" w:cs="宋体"/>
                <w:color w:val="000000"/>
                <w:kern w:val="0"/>
                <w:szCs w:val="21"/>
              </w:rPr>
              <w:t>单晶硅棒</w:t>
            </w:r>
          </w:p>
        </w:tc>
        <w:tc>
          <w:tcPr>
            <w:tcW w:w="914" w:type="pct"/>
            <w:vAlign w:val="center"/>
          </w:tcPr>
          <w:p w14:paraId="10CC2BB4">
            <w:pPr>
              <w:jc w:val="center"/>
              <w:rPr>
                <w:rFonts w:ascii="宋体" w:hAnsi="宋体" w:cs="宋体"/>
                <w:color w:val="000000"/>
                <w:kern w:val="0"/>
                <w:szCs w:val="21"/>
              </w:rPr>
            </w:pPr>
            <w:r>
              <w:rPr>
                <w:rFonts w:ascii="宋体" w:hAnsi="宋体" w:cs="宋体"/>
                <w:color w:val="000000"/>
                <w:kern w:val="0"/>
                <w:szCs w:val="21"/>
              </w:rPr>
              <w:t>/</w:t>
            </w:r>
          </w:p>
        </w:tc>
        <w:tc>
          <w:tcPr>
            <w:tcW w:w="1498" w:type="pct"/>
            <w:vAlign w:val="center"/>
          </w:tcPr>
          <w:p w14:paraId="0F1B714D">
            <w:pPr>
              <w:widowControl/>
              <w:jc w:val="center"/>
              <w:rPr>
                <w:rFonts w:ascii="宋体" w:hAnsi="宋体" w:cs="宋体"/>
                <w:color w:val="000000"/>
                <w:kern w:val="0"/>
                <w:szCs w:val="21"/>
              </w:rPr>
            </w:pPr>
            <w:r>
              <w:rPr>
                <w:rFonts w:ascii="宋体" w:hAnsi="宋体" w:cs="宋体"/>
                <w:color w:val="000000"/>
                <w:kern w:val="0"/>
                <w:szCs w:val="21"/>
              </w:rPr>
              <w:t>C3099</w:t>
            </w:r>
            <w:r>
              <w:rPr>
                <w:rFonts w:hint="eastAsia" w:ascii="宋体" w:hAnsi="宋体" w:cs="宋体"/>
                <w:color w:val="000000"/>
                <w:kern w:val="0"/>
                <w:szCs w:val="21"/>
              </w:rPr>
              <w:t>其他非金属矿物制造</w:t>
            </w:r>
          </w:p>
        </w:tc>
        <w:tc>
          <w:tcPr>
            <w:tcW w:w="446" w:type="pct"/>
            <w:vAlign w:val="center"/>
          </w:tcPr>
          <w:p w14:paraId="7A32CBE5">
            <w:pPr>
              <w:widowControl/>
              <w:jc w:val="center"/>
              <w:rPr>
                <w:rFonts w:ascii="宋体" w:hAnsi="宋体" w:cs="宋体"/>
                <w:color w:val="000000"/>
                <w:kern w:val="0"/>
                <w:szCs w:val="21"/>
              </w:rPr>
            </w:pPr>
            <w:r>
              <w:rPr>
                <w:rFonts w:hint="eastAsia" w:ascii="宋体" w:hAnsi="宋体" w:cs="宋体"/>
                <w:color w:val="000000"/>
                <w:kern w:val="0"/>
                <w:szCs w:val="21"/>
              </w:rPr>
              <w:t>新增</w:t>
            </w:r>
          </w:p>
        </w:tc>
      </w:tr>
      <w:tr w14:paraId="1E35C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shd w:val="clear" w:color="auto" w:fill="auto"/>
            <w:noWrap/>
            <w:vAlign w:val="center"/>
          </w:tcPr>
          <w:p w14:paraId="1BD42A7E">
            <w:pPr>
              <w:jc w:val="center"/>
              <w:rPr>
                <w:rFonts w:ascii="宋体" w:hAnsi="宋体" w:cs="宋体"/>
                <w:color w:val="000000"/>
                <w:kern w:val="0"/>
                <w:szCs w:val="21"/>
              </w:rPr>
            </w:pPr>
            <w:r>
              <w:rPr>
                <w:rFonts w:hint="eastAsia" w:ascii="宋体" w:hAnsi="宋体" w:cs="宋体"/>
                <w:color w:val="000000"/>
                <w:kern w:val="0"/>
                <w:szCs w:val="21"/>
              </w:rPr>
              <w:t>27</w:t>
            </w:r>
          </w:p>
        </w:tc>
        <w:tc>
          <w:tcPr>
            <w:tcW w:w="766" w:type="pct"/>
            <w:vAlign w:val="center"/>
          </w:tcPr>
          <w:p w14:paraId="2A7CA1EE">
            <w:pPr>
              <w:jc w:val="center"/>
              <w:rPr>
                <w:rFonts w:ascii="宋体" w:hAnsi="宋体" w:cs="宋体"/>
                <w:color w:val="000000"/>
                <w:kern w:val="0"/>
                <w:szCs w:val="21"/>
              </w:rPr>
            </w:pPr>
            <w:r>
              <w:rPr>
                <w:rFonts w:ascii="宋体" w:hAnsi="宋体" w:cs="宋体"/>
                <w:color w:val="000000"/>
                <w:kern w:val="0"/>
                <w:szCs w:val="21"/>
              </w:rPr>
              <w:t>/</w:t>
            </w:r>
          </w:p>
        </w:tc>
        <w:tc>
          <w:tcPr>
            <w:tcW w:w="997" w:type="pct"/>
            <w:vAlign w:val="center"/>
          </w:tcPr>
          <w:p w14:paraId="1D532152">
            <w:pPr>
              <w:widowControl/>
              <w:jc w:val="center"/>
              <w:rPr>
                <w:rFonts w:ascii="宋体" w:hAnsi="宋体" w:cs="宋体"/>
                <w:color w:val="000000"/>
                <w:kern w:val="0"/>
                <w:szCs w:val="21"/>
              </w:rPr>
            </w:pPr>
            <w:r>
              <w:rPr>
                <w:rFonts w:hint="eastAsia" w:ascii="宋体" w:hAnsi="宋体" w:cs="宋体"/>
                <w:color w:val="000000"/>
                <w:kern w:val="0"/>
                <w:szCs w:val="21"/>
              </w:rPr>
              <w:t>烧结余热发电</w:t>
            </w:r>
          </w:p>
        </w:tc>
        <w:tc>
          <w:tcPr>
            <w:tcW w:w="914" w:type="pct"/>
            <w:vAlign w:val="center"/>
          </w:tcPr>
          <w:p w14:paraId="149D20BD">
            <w:pPr>
              <w:jc w:val="center"/>
              <w:rPr>
                <w:rFonts w:ascii="宋体" w:hAnsi="宋体" w:cs="宋体"/>
                <w:color w:val="000000"/>
                <w:kern w:val="0"/>
                <w:szCs w:val="21"/>
              </w:rPr>
            </w:pPr>
            <w:r>
              <w:rPr>
                <w:rFonts w:ascii="宋体" w:hAnsi="宋体" w:cs="宋体"/>
                <w:color w:val="000000"/>
                <w:kern w:val="0"/>
                <w:szCs w:val="21"/>
              </w:rPr>
              <w:t>/</w:t>
            </w:r>
          </w:p>
        </w:tc>
        <w:tc>
          <w:tcPr>
            <w:tcW w:w="1498" w:type="pct"/>
            <w:vAlign w:val="center"/>
          </w:tcPr>
          <w:p w14:paraId="1C68B180">
            <w:pPr>
              <w:widowControl/>
              <w:jc w:val="center"/>
              <w:rPr>
                <w:rFonts w:ascii="宋体" w:hAnsi="宋体" w:cs="宋体"/>
                <w:color w:val="000000"/>
                <w:kern w:val="0"/>
                <w:szCs w:val="21"/>
              </w:rPr>
            </w:pPr>
            <w:r>
              <w:rPr>
                <w:rFonts w:ascii="宋体" w:hAnsi="宋体" w:cs="宋体"/>
                <w:color w:val="000000"/>
                <w:kern w:val="0"/>
                <w:szCs w:val="21"/>
              </w:rPr>
              <w:t>C3110</w:t>
            </w:r>
            <w:r>
              <w:rPr>
                <w:rFonts w:hint="eastAsia" w:ascii="宋体" w:hAnsi="宋体" w:cs="宋体"/>
                <w:color w:val="000000"/>
                <w:kern w:val="0"/>
                <w:szCs w:val="21"/>
              </w:rPr>
              <w:t>烧结余热发电</w:t>
            </w:r>
          </w:p>
        </w:tc>
        <w:tc>
          <w:tcPr>
            <w:tcW w:w="446" w:type="pct"/>
            <w:vAlign w:val="center"/>
          </w:tcPr>
          <w:p w14:paraId="27C8B841">
            <w:pPr>
              <w:widowControl/>
              <w:jc w:val="center"/>
              <w:rPr>
                <w:rFonts w:ascii="宋体" w:hAnsi="宋体" w:cs="宋体"/>
                <w:color w:val="000000"/>
                <w:kern w:val="0"/>
                <w:szCs w:val="21"/>
              </w:rPr>
            </w:pPr>
            <w:r>
              <w:rPr>
                <w:rFonts w:hint="eastAsia" w:ascii="宋体" w:hAnsi="宋体" w:cs="宋体"/>
                <w:color w:val="000000"/>
                <w:kern w:val="0"/>
                <w:szCs w:val="21"/>
              </w:rPr>
              <w:t>新增</w:t>
            </w:r>
          </w:p>
        </w:tc>
      </w:tr>
      <w:tr w14:paraId="72533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shd w:val="clear" w:color="auto" w:fill="auto"/>
            <w:noWrap/>
            <w:vAlign w:val="center"/>
          </w:tcPr>
          <w:p w14:paraId="00EC759A">
            <w:pPr>
              <w:jc w:val="center"/>
              <w:rPr>
                <w:rFonts w:ascii="宋体" w:hAnsi="宋体" w:cs="宋体"/>
                <w:color w:val="000000"/>
                <w:kern w:val="0"/>
                <w:szCs w:val="21"/>
              </w:rPr>
            </w:pPr>
            <w:r>
              <w:rPr>
                <w:rFonts w:hint="eastAsia" w:ascii="宋体" w:hAnsi="宋体" w:cs="宋体"/>
                <w:color w:val="000000"/>
                <w:kern w:val="0"/>
                <w:szCs w:val="21"/>
              </w:rPr>
              <w:t>28</w:t>
            </w:r>
          </w:p>
        </w:tc>
        <w:tc>
          <w:tcPr>
            <w:tcW w:w="766" w:type="pct"/>
            <w:vAlign w:val="center"/>
          </w:tcPr>
          <w:p w14:paraId="2648CEE0">
            <w:pPr>
              <w:jc w:val="center"/>
              <w:rPr>
                <w:rFonts w:ascii="宋体" w:hAnsi="宋体" w:cs="宋体"/>
                <w:color w:val="000000"/>
                <w:kern w:val="0"/>
                <w:szCs w:val="21"/>
              </w:rPr>
            </w:pPr>
            <w:r>
              <w:rPr>
                <w:rFonts w:ascii="宋体" w:hAnsi="宋体" w:cs="宋体"/>
                <w:color w:val="000000"/>
                <w:kern w:val="0"/>
                <w:szCs w:val="21"/>
              </w:rPr>
              <w:t>/</w:t>
            </w:r>
          </w:p>
        </w:tc>
        <w:tc>
          <w:tcPr>
            <w:tcW w:w="997" w:type="pct"/>
            <w:vAlign w:val="center"/>
          </w:tcPr>
          <w:p w14:paraId="615EB9A8">
            <w:pPr>
              <w:widowControl/>
              <w:jc w:val="center"/>
              <w:rPr>
                <w:rFonts w:ascii="宋体" w:hAnsi="宋体" w:cs="宋体"/>
                <w:color w:val="000000"/>
                <w:kern w:val="0"/>
                <w:szCs w:val="21"/>
              </w:rPr>
            </w:pPr>
            <w:r>
              <w:rPr>
                <w:rFonts w:hint="eastAsia" w:ascii="宋体" w:hAnsi="宋体" w:cs="宋体"/>
                <w:color w:val="000000"/>
                <w:kern w:val="0"/>
                <w:szCs w:val="21"/>
              </w:rPr>
              <w:t>烧结脱硫</w:t>
            </w:r>
          </w:p>
        </w:tc>
        <w:tc>
          <w:tcPr>
            <w:tcW w:w="914" w:type="pct"/>
            <w:vAlign w:val="center"/>
          </w:tcPr>
          <w:p w14:paraId="599C81EF">
            <w:pPr>
              <w:jc w:val="center"/>
              <w:rPr>
                <w:rFonts w:ascii="宋体" w:hAnsi="宋体" w:cs="宋体"/>
                <w:color w:val="000000"/>
                <w:kern w:val="0"/>
                <w:szCs w:val="21"/>
              </w:rPr>
            </w:pPr>
            <w:r>
              <w:rPr>
                <w:rFonts w:ascii="宋体" w:hAnsi="宋体" w:cs="宋体"/>
                <w:color w:val="000000"/>
                <w:kern w:val="0"/>
                <w:szCs w:val="21"/>
              </w:rPr>
              <w:t>/</w:t>
            </w:r>
          </w:p>
        </w:tc>
        <w:tc>
          <w:tcPr>
            <w:tcW w:w="1498" w:type="pct"/>
            <w:vAlign w:val="center"/>
          </w:tcPr>
          <w:p w14:paraId="7A75D963">
            <w:pPr>
              <w:jc w:val="center"/>
              <w:rPr>
                <w:rFonts w:ascii="宋体" w:hAnsi="宋体" w:cs="宋体"/>
                <w:color w:val="000000"/>
                <w:kern w:val="0"/>
                <w:szCs w:val="21"/>
              </w:rPr>
            </w:pPr>
            <w:r>
              <w:rPr>
                <w:rFonts w:ascii="宋体" w:hAnsi="宋体" w:cs="宋体"/>
                <w:color w:val="000000"/>
                <w:kern w:val="0"/>
                <w:szCs w:val="21"/>
              </w:rPr>
              <w:t>C3110</w:t>
            </w:r>
            <w:r>
              <w:rPr>
                <w:rFonts w:hint="eastAsia" w:ascii="宋体" w:hAnsi="宋体" w:cs="宋体"/>
                <w:color w:val="000000"/>
                <w:kern w:val="0"/>
                <w:szCs w:val="21"/>
              </w:rPr>
              <w:t>烧结余热发电</w:t>
            </w:r>
          </w:p>
        </w:tc>
        <w:tc>
          <w:tcPr>
            <w:tcW w:w="446" w:type="pct"/>
            <w:vAlign w:val="center"/>
          </w:tcPr>
          <w:p w14:paraId="1D56EB99">
            <w:pPr>
              <w:widowControl/>
              <w:jc w:val="center"/>
              <w:rPr>
                <w:rFonts w:ascii="宋体" w:hAnsi="宋体" w:cs="宋体"/>
                <w:color w:val="000000"/>
                <w:kern w:val="0"/>
                <w:szCs w:val="21"/>
              </w:rPr>
            </w:pPr>
            <w:r>
              <w:rPr>
                <w:rFonts w:hint="eastAsia" w:ascii="宋体" w:hAnsi="宋体" w:cs="宋体"/>
                <w:color w:val="000000"/>
                <w:kern w:val="0"/>
                <w:szCs w:val="21"/>
              </w:rPr>
              <w:t>新增</w:t>
            </w:r>
          </w:p>
        </w:tc>
      </w:tr>
      <w:tr w14:paraId="1B3BB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shd w:val="clear" w:color="auto" w:fill="auto"/>
            <w:noWrap/>
            <w:vAlign w:val="center"/>
          </w:tcPr>
          <w:p w14:paraId="6C06F3E5">
            <w:pPr>
              <w:jc w:val="center"/>
              <w:rPr>
                <w:rFonts w:ascii="宋体" w:hAnsi="宋体" w:cs="宋体"/>
                <w:color w:val="000000"/>
                <w:kern w:val="0"/>
                <w:szCs w:val="21"/>
              </w:rPr>
            </w:pPr>
            <w:r>
              <w:rPr>
                <w:rFonts w:hint="eastAsia" w:ascii="宋体" w:hAnsi="宋体" w:cs="宋体"/>
                <w:color w:val="000000"/>
                <w:kern w:val="0"/>
                <w:szCs w:val="21"/>
              </w:rPr>
              <w:t>29</w:t>
            </w:r>
          </w:p>
        </w:tc>
        <w:tc>
          <w:tcPr>
            <w:tcW w:w="766" w:type="pct"/>
            <w:vAlign w:val="center"/>
          </w:tcPr>
          <w:p w14:paraId="51FBECBA">
            <w:pPr>
              <w:jc w:val="center"/>
              <w:rPr>
                <w:rFonts w:ascii="宋体" w:hAnsi="宋体" w:cs="宋体"/>
                <w:color w:val="000000"/>
                <w:kern w:val="0"/>
                <w:szCs w:val="21"/>
              </w:rPr>
            </w:pPr>
            <w:r>
              <w:rPr>
                <w:rFonts w:ascii="宋体" w:hAnsi="宋体" w:cs="宋体"/>
                <w:color w:val="000000"/>
                <w:kern w:val="0"/>
                <w:szCs w:val="21"/>
              </w:rPr>
              <w:t>/</w:t>
            </w:r>
          </w:p>
        </w:tc>
        <w:tc>
          <w:tcPr>
            <w:tcW w:w="997" w:type="pct"/>
            <w:vAlign w:val="center"/>
          </w:tcPr>
          <w:p w14:paraId="07120899">
            <w:pPr>
              <w:widowControl/>
              <w:jc w:val="center"/>
              <w:rPr>
                <w:rFonts w:ascii="宋体" w:hAnsi="宋体" w:cs="宋体"/>
                <w:color w:val="000000"/>
                <w:kern w:val="0"/>
                <w:szCs w:val="21"/>
              </w:rPr>
            </w:pPr>
            <w:r>
              <w:rPr>
                <w:rFonts w:hint="eastAsia" w:ascii="宋体" w:hAnsi="宋体" w:cs="宋体"/>
                <w:color w:val="000000"/>
                <w:kern w:val="0"/>
                <w:szCs w:val="21"/>
              </w:rPr>
              <w:t>球团脱硫</w:t>
            </w:r>
          </w:p>
        </w:tc>
        <w:tc>
          <w:tcPr>
            <w:tcW w:w="914" w:type="pct"/>
            <w:vAlign w:val="center"/>
          </w:tcPr>
          <w:p w14:paraId="673BE56F">
            <w:pPr>
              <w:jc w:val="center"/>
              <w:rPr>
                <w:rFonts w:ascii="宋体" w:hAnsi="宋体" w:cs="宋体"/>
                <w:color w:val="000000"/>
                <w:kern w:val="0"/>
                <w:szCs w:val="21"/>
              </w:rPr>
            </w:pPr>
            <w:r>
              <w:rPr>
                <w:rFonts w:ascii="宋体" w:hAnsi="宋体" w:cs="宋体"/>
                <w:color w:val="000000"/>
                <w:kern w:val="0"/>
                <w:szCs w:val="21"/>
              </w:rPr>
              <w:t>/</w:t>
            </w:r>
          </w:p>
        </w:tc>
        <w:tc>
          <w:tcPr>
            <w:tcW w:w="1498" w:type="pct"/>
            <w:vAlign w:val="center"/>
          </w:tcPr>
          <w:p w14:paraId="7C5C209D">
            <w:pPr>
              <w:jc w:val="center"/>
              <w:rPr>
                <w:rFonts w:ascii="宋体" w:hAnsi="宋体" w:cs="宋体"/>
                <w:color w:val="000000"/>
                <w:kern w:val="0"/>
                <w:szCs w:val="21"/>
              </w:rPr>
            </w:pPr>
            <w:r>
              <w:rPr>
                <w:rFonts w:ascii="宋体" w:hAnsi="宋体" w:cs="宋体"/>
                <w:color w:val="000000"/>
                <w:kern w:val="0"/>
                <w:szCs w:val="21"/>
              </w:rPr>
              <w:t>C3110</w:t>
            </w:r>
            <w:r>
              <w:rPr>
                <w:rFonts w:hint="eastAsia" w:ascii="宋体" w:hAnsi="宋体" w:cs="宋体"/>
                <w:color w:val="000000"/>
                <w:kern w:val="0"/>
                <w:szCs w:val="21"/>
              </w:rPr>
              <w:t>烧结余热发电</w:t>
            </w:r>
          </w:p>
        </w:tc>
        <w:tc>
          <w:tcPr>
            <w:tcW w:w="446" w:type="pct"/>
            <w:vAlign w:val="center"/>
          </w:tcPr>
          <w:p w14:paraId="41750943">
            <w:pPr>
              <w:widowControl/>
              <w:jc w:val="center"/>
              <w:rPr>
                <w:rFonts w:ascii="宋体" w:hAnsi="宋体" w:cs="宋体"/>
                <w:color w:val="000000"/>
                <w:kern w:val="0"/>
                <w:szCs w:val="21"/>
              </w:rPr>
            </w:pPr>
            <w:r>
              <w:rPr>
                <w:rFonts w:hint="eastAsia" w:ascii="宋体" w:hAnsi="宋体" w:cs="宋体"/>
                <w:color w:val="000000"/>
                <w:kern w:val="0"/>
                <w:szCs w:val="21"/>
              </w:rPr>
              <w:t>新增</w:t>
            </w:r>
          </w:p>
        </w:tc>
      </w:tr>
    </w:tbl>
    <w:p w14:paraId="4422AB8E">
      <w:pPr>
        <w:pStyle w:val="47"/>
        <w:spacing w:line="360" w:lineRule="auto"/>
        <w:ind w:firstLine="0" w:firstLineChars="0"/>
        <w:jc w:val="left"/>
        <w:rPr>
          <w:rFonts w:ascii="Times New Roman" w:hAnsi="Times New Roman"/>
          <w:sz w:val="24"/>
        </w:rPr>
      </w:pPr>
    </w:p>
    <w:p w14:paraId="40F692EB">
      <w:pPr>
        <w:pStyle w:val="47"/>
        <w:spacing w:line="360" w:lineRule="auto"/>
        <w:ind w:firstLine="0" w:firstLineChars="0"/>
        <w:jc w:val="left"/>
        <w:rPr>
          <w:rFonts w:ascii="Times New Roman" w:hAnsi="Times New Roman"/>
          <w:sz w:val="24"/>
        </w:rPr>
      </w:pPr>
      <w:r>
        <w:rPr>
          <w:rFonts w:hint="eastAsia" w:ascii="Times New Roman" w:hAnsi="Times New Roman"/>
          <w:sz w:val="24"/>
        </w:rPr>
        <w:t>（2）用水定额修订</w:t>
      </w:r>
    </w:p>
    <w:p w14:paraId="358D45C3">
      <w:pPr>
        <w:spacing w:line="360" w:lineRule="auto"/>
        <w:ind w:firstLine="480" w:firstLineChars="200"/>
        <w:rPr>
          <w:rFonts w:ascii="Times New Roman" w:hAnsi="Times New Roman"/>
          <w:sz w:val="24"/>
        </w:rPr>
      </w:pPr>
      <w:r>
        <w:rPr>
          <w:rFonts w:hint="eastAsia" w:ascii="Times New Roman" w:hAnsi="Times New Roman"/>
          <w:sz w:val="24"/>
        </w:rPr>
        <w:t>删除了用水定额领跑值；</w:t>
      </w:r>
    </w:p>
    <w:p w14:paraId="172D1AC2">
      <w:pPr>
        <w:spacing w:line="360" w:lineRule="auto"/>
        <w:ind w:firstLine="480" w:firstLineChars="200"/>
        <w:rPr>
          <w:rFonts w:ascii="Times New Roman" w:hAnsi="Times New Roman"/>
          <w:sz w:val="24"/>
        </w:rPr>
      </w:pPr>
      <w:r>
        <w:rPr>
          <w:rFonts w:hint="eastAsia" w:ascii="Times New Roman" w:hAnsi="Times New Roman"/>
          <w:sz w:val="24"/>
        </w:rPr>
        <w:t>对其他饲料加工</w:t>
      </w:r>
      <w:r>
        <w:rPr>
          <w:rFonts w:hint="eastAsia" w:ascii="Times New Roman" w:hAnsi="Times New Roman"/>
          <w:sz w:val="24"/>
        </w:rPr>
        <w:tab/>
      </w:r>
      <w:r>
        <w:rPr>
          <w:rFonts w:hint="eastAsia" w:ascii="Times New Roman" w:hAnsi="Times New Roman"/>
          <w:sz w:val="24"/>
        </w:rPr>
        <w:t>的饲料用水定额进行了修订；</w:t>
      </w:r>
    </w:p>
    <w:p w14:paraId="2B8C4D92">
      <w:pPr>
        <w:spacing w:line="360" w:lineRule="auto"/>
        <w:ind w:firstLine="480" w:firstLineChars="200"/>
        <w:rPr>
          <w:rFonts w:ascii="Times New Roman" w:hAnsi="Times New Roman"/>
          <w:sz w:val="24"/>
        </w:rPr>
      </w:pPr>
      <w:r>
        <w:rPr>
          <w:rFonts w:hint="eastAsia" w:ascii="Times New Roman" w:hAnsi="Times New Roman"/>
          <w:sz w:val="24"/>
        </w:rPr>
        <w:t>对方便面的用水定额进行了修订；</w:t>
      </w:r>
    </w:p>
    <w:p w14:paraId="72B5D336">
      <w:pPr>
        <w:spacing w:line="360" w:lineRule="auto"/>
        <w:ind w:firstLine="480" w:firstLineChars="200"/>
        <w:rPr>
          <w:rFonts w:ascii="Times New Roman" w:hAnsi="Times New Roman"/>
          <w:sz w:val="24"/>
        </w:rPr>
      </w:pPr>
      <w:r>
        <w:rPr>
          <w:rFonts w:hint="eastAsia" w:ascii="Times New Roman" w:hAnsi="Times New Roman"/>
          <w:sz w:val="24"/>
        </w:rPr>
        <w:t>对液体乳制造的产品名称和用水定额进行了修订；</w:t>
      </w:r>
    </w:p>
    <w:p w14:paraId="4D3DEDD7">
      <w:pPr>
        <w:spacing w:line="360" w:lineRule="auto"/>
        <w:ind w:firstLine="480" w:firstLineChars="200"/>
        <w:rPr>
          <w:rFonts w:ascii="Times New Roman" w:hAnsi="Times New Roman"/>
          <w:sz w:val="24"/>
        </w:rPr>
      </w:pPr>
      <w:r>
        <w:rPr>
          <w:rFonts w:hint="eastAsia" w:ascii="Times New Roman" w:hAnsi="Times New Roman"/>
          <w:sz w:val="24"/>
        </w:rPr>
        <w:t>对乳粉制造的乳粉用水定额进行了修订；</w:t>
      </w:r>
    </w:p>
    <w:p w14:paraId="60EAA453">
      <w:pPr>
        <w:spacing w:line="360" w:lineRule="auto"/>
        <w:ind w:firstLine="480" w:firstLineChars="200"/>
        <w:rPr>
          <w:rFonts w:ascii="Times New Roman" w:hAnsi="Times New Roman"/>
          <w:sz w:val="24"/>
        </w:rPr>
      </w:pPr>
      <w:r>
        <w:rPr>
          <w:rFonts w:hint="eastAsia" w:ascii="Times New Roman" w:hAnsi="Times New Roman"/>
          <w:sz w:val="24"/>
        </w:rPr>
        <w:t>对罐头食品制造的肉、禽类罐头，水产品罐头，蔬菜、水果罐头，其他罐头用水定额进行了修订；</w:t>
      </w:r>
    </w:p>
    <w:p w14:paraId="2EF2BBD8">
      <w:pPr>
        <w:spacing w:line="360" w:lineRule="auto"/>
        <w:ind w:firstLine="480" w:firstLineChars="200"/>
        <w:rPr>
          <w:rFonts w:ascii="Times New Roman" w:hAnsi="Times New Roman"/>
          <w:sz w:val="24"/>
        </w:rPr>
      </w:pPr>
      <w:r>
        <w:rPr>
          <w:rFonts w:hint="eastAsia" w:ascii="Times New Roman" w:hAnsi="Times New Roman"/>
          <w:sz w:val="24"/>
        </w:rPr>
        <w:t>对味精制造的用水定额进行了修订；</w:t>
      </w:r>
    </w:p>
    <w:p w14:paraId="58FB0081">
      <w:pPr>
        <w:spacing w:line="360" w:lineRule="auto"/>
        <w:ind w:firstLine="480" w:firstLineChars="200"/>
        <w:rPr>
          <w:rFonts w:ascii="Times New Roman" w:hAnsi="Times New Roman"/>
          <w:sz w:val="24"/>
        </w:rPr>
      </w:pPr>
      <w:r>
        <w:rPr>
          <w:rFonts w:hint="eastAsia" w:ascii="Times New Roman" w:hAnsi="Times New Roman"/>
          <w:sz w:val="24"/>
        </w:rPr>
        <w:t>对酱油、食醋及类似制品的制造的酱油、食醋用水定额进行了修订；</w:t>
      </w:r>
    </w:p>
    <w:p w14:paraId="0174B1AB">
      <w:pPr>
        <w:spacing w:line="360" w:lineRule="auto"/>
        <w:ind w:firstLine="480" w:firstLineChars="200"/>
        <w:rPr>
          <w:rFonts w:ascii="Times New Roman" w:hAnsi="Times New Roman"/>
          <w:sz w:val="24"/>
        </w:rPr>
      </w:pPr>
      <w:r>
        <w:rPr>
          <w:rFonts w:hint="eastAsia" w:ascii="Times New Roman" w:hAnsi="Times New Roman"/>
          <w:sz w:val="24"/>
        </w:rPr>
        <w:t>对其他调味品、发酵制品制造中的酵母制品、酵母衍生制品、柠檬酸用水定额进行了修订；</w:t>
      </w:r>
    </w:p>
    <w:p w14:paraId="511062C8">
      <w:pPr>
        <w:spacing w:line="360" w:lineRule="auto"/>
        <w:ind w:firstLine="480" w:firstLineChars="200"/>
        <w:rPr>
          <w:rFonts w:ascii="Times New Roman" w:hAnsi="Times New Roman"/>
          <w:sz w:val="24"/>
        </w:rPr>
      </w:pPr>
      <w:r>
        <w:rPr>
          <w:rFonts w:hint="eastAsia" w:ascii="Times New Roman" w:hAnsi="Times New Roman"/>
          <w:sz w:val="24"/>
        </w:rPr>
        <w:t>对冷冻饮品及食用冰制造的雪糕、冰棍、冰淇淋用水定额进行了修订；</w:t>
      </w:r>
    </w:p>
    <w:p w14:paraId="67A373EB">
      <w:pPr>
        <w:spacing w:line="360" w:lineRule="auto"/>
        <w:ind w:firstLine="480" w:firstLineChars="200"/>
        <w:rPr>
          <w:rFonts w:ascii="Times New Roman" w:hAnsi="Times New Roman"/>
          <w:sz w:val="24"/>
        </w:rPr>
      </w:pPr>
      <w:r>
        <w:rPr>
          <w:rFonts w:hint="eastAsia" w:ascii="Times New Roman" w:hAnsi="Times New Roman"/>
          <w:sz w:val="24"/>
        </w:rPr>
        <w:t>对酒精制造的产品名称和用水定额进行了修订；</w:t>
      </w:r>
    </w:p>
    <w:p w14:paraId="41281CBC">
      <w:pPr>
        <w:spacing w:line="360" w:lineRule="auto"/>
        <w:ind w:firstLine="480" w:firstLineChars="200"/>
        <w:rPr>
          <w:rFonts w:ascii="Times New Roman" w:hAnsi="Times New Roman"/>
          <w:sz w:val="24"/>
        </w:rPr>
      </w:pPr>
      <w:r>
        <w:rPr>
          <w:rFonts w:hint="eastAsia" w:ascii="Times New Roman" w:hAnsi="Times New Roman"/>
          <w:sz w:val="24"/>
        </w:rPr>
        <w:t>对白酒制造、啤酒制造、葡萄酒制造的用水定额进行了修订；</w:t>
      </w:r>
    </w:p>
    <w:p w14:paraId="146227EE">
      <w:pPr>
        <w:spacing w:line="360" w:lineRule="auto"/>
        <w:ind w:firstLine="480" w:firstLineChars="200"/>
        <w:rPr>
          <w:rFonts w:ascii="Times New Roman" w:hAnsi="Times New Roman"/>
          <w:sz w:val="24"/>
        </w:rPr>
      </w:pPr>
      <w:r>
        <w:rPr>
          <w:rFonts w:hint="eastAsia" w:ascii="Times New Roman" w:hAnsi="Times New Roman"/>
          <w:sz w:val="24"/>
        </w:rPr>
        <w:t>对碳酸饮料制造的用水定额进行了修订；</w:t>
      </w:r>
    </w:p>
    <w:p w14:paraId="7C1CC7B1">
      <w:pPr>
        <w:spacing w:line="360" w:lineRule="auto"/>
        <w:ind w:firstLine="480" w:firstLineChars="200"/>
        <w:rPr>
          <w:rFonts w:ascii="Times New Roman" w:hAnsi="Times New Roman"/>
          <w:sz w:val="24"/>
        </w:rPr>
      </w:pPr>
      <w:r>
        <w:rPr>
          <w:rFonts w:hint="eastAsia" w:ascii="Times New Roman" w:hAnsi="Times New Roman"/>
          <w:sz w:val="24"/>
        </w:rPr>
        <w:t>对瓶（罐）装饮用水制造中的产品名称和用水定额进行了修订；</w:t>
      </w:r>
    </w:p>
    <w:p w14:paraId="48C5399A">
      <w:pPr>
        <w:spacing w:line="360" w:lineRule="auto"/>
        <w:ind w:firstLine="480" w:firstLineChars="200"/>
        <w:rPr>
          <w:rFonts w:ascii="Times New Roman" w:hAnsi="Times New Roman"/>
          <w:sz w:val="24"/>
        </w:rPr>
      </w:pPr>
      <w:r>
        <w:rPr>
          <w:rFonts w:hint="eastAsia" w:ascii="Times New Roman" w:hAnsi="Times New Roman"/>
          <w:sz w:val="24"/>
        </w:rPr>
        <w:t>对果菜汁及果菜汁饮料制造中的产品名称和用水定额进行了修订；</w:t>
      </w:r>
    </w:p>
    <w:p w14:paraId="6098B8E1">
      <w:pPr>
        <w:spacing w:line="360" w:lineRule="auto"/>
        <w:ind w:firstLine="480" w:firstLineChars="200"/>
        <w:rPr>
          <w:rFonts w:ascii="Times New Roman" w:hAnsi="Times New Roman"/>
          <w:sz w:val="24"/>
        </w:rPr>
      </w:pPr>
      <w:r>
        <w:rPr>
          <w:rFonts w:hint="eastAsia" w:ascii="Times New Roman" w:hAnsi="Times New Roman"/>
          <w:sz w:val="24"/>
        </w:rPr>
        <w:t>对含乳饮料和植物蛋白饮料制造的产品名称和用水定额进行了修订；</w:t>
      </w:r>
    </w:p>
    <w:p w14:paraId="7EB2561A">
      <w:pPr>
        <w:spacing w:line="360" w:lineRule="auto"/>
        <w:ind w:firstLine="480" w:firstLineChars="200"/>
        <w:rPr>
          <w:rFonts w:ascii="Times New Roman" w:hAnsi="Times New Roman"/>
          <w:sz w:val="24"/>
        </w:rPr>
      </w:pPr>
      <w:r>
        <w:rPr>
          <w:rFonts w:hint="eastAsia" w:ascii="Times New Roman" w:hAnsi="Times New Roman"/>
          <w:sz w:val="24"/>
        </w:rPr>
        <w:t>对茶饮料及其他饮料制造的产品名称和用水定额进行了修订；</w:t>
      </w:r>
    </w:p>
    <w:p w14:paraId="151EF0EB">
      <w:pPr>
        <w:spacing w:line="360" w:lineRule="auto"/>
        <w:ind w:firstLine="480" w:firstLineChars="200"/>
        <w:rPr>
          <w:rFonts w:ascii="Times New Roman" w:hAnsi="Times New Roman"/>
          <w:sz w:val="24"/>
        </w:rPr>
      </w:pPr>
      <w:r>
        <w:rPr>
          <w:rFonts w:hint="eastAsia" w:ascii="Times New Roman" w:hAnsi="Times New Roman"/>
          <w:sz w:val="24"/>
        </w:rPr>
        <w:t>对卷烟制造的用水定额进行了修订；</w:t>
      </w:r>
    </w:p>
    <w:p w14:paraId="1C5CA244">
      <w:pPr>
        <w:spacing w:line="360" w:lineRule="auto"/>
        <w:ind w:firstLine="480" w:firstLineChars="200"/>
        <w:rPr>
          <w:rFonts w:ascii="Times New Roman" w:hAnsi="Times New Roman"/>
          <w:sz w:val="24"/>
        </w:rPr>
      </w:pPr>
      <w:r>
        <w:rPr>
          <w:rFonts w:hint="eastAsia" w:ascii="Times New Roman" w:hAnsi="Times New Roman"/>
          <w:sz w:val="24"/>
        </w:rPr>
        <w:t>对毛条和毛纱线加工的洗净毛条和炭化毛用水定额进行了修订；</w:t>
      </w:r>
    </w:p>
    <w:p w14:paraId="607B9C63">
      <w:pPr>
        <w:spacing w:line="360" w:lineRule="auto"/>
        <w:ind w:firstLine="480" w:firstLineChars="200"/>
        <w:rPr>
          <w:rFonts w:ascii="Times New Roman" w:hAnsi="Times New Roman"/>
          <w:sz w:val="24"/>
        </w:rPr>
      </w:pPr>
      <w:r>
        <w:rPr>
          <w:rFonts w:hint="eastAsia" w:ascii="Times New Roman" w:hAnsi="Times New Roman"/>
          <w:sz w:val="24"/>
        </w:rPr>
        <w:t>对毛织造加工中的产品名称和用水定额进行了修订；</w:t>
      </w:r>
    </w:p>
    <w:p w14:paraId="56C4ECE4">
      <w:pPr>
        <w:spacing w:line="360" w:lineRule="auto"/>
        <w:ind w:firstLine="480" w:firstLineChars="200"/>
        <w:rPr>
          <w:rFonts w:ascii="Times New Roman" w:hAnsi="Times New Roman"/>
          <w:sz w:val="24"/>
        </w:rPr>
      </w:pPr>
      <w:r>
        <w:rPr>
          <w:rFonts w:hint="eastAsia" w:ascii="Times New Roman" w:hAnsi="Times New Roman"/>
          <w:sz w:val="24"/>
        </w:rPr>
        <w:t>对毛皮鞣制加工行业代码、羊皮的用水定额进行了修订；</w:t>
      </w:r>
    </w:p>
    <w:p w14:paraId="72DC9EC6">
      <w:pPr>
        <w:spacing w:line="360" w:lineRule="auto"/>
        <w:ind w:firstLine="480" w:firstLineChars="200"/>
        <w:rPr>
          <w:rFonts w:ascii="Times New Roman" w:hAnsi="Times New Roman"/>
          <w:sz w:val="24"/>
        </w:rPr>
      </w:pPr>
      <w:r>
        <w:rPr>
          <w:rFonts w:hint="eastAsia" w:ascii="Times New Roman" w:hAnsi="Times New Roman"/>
          <w:sz w:val="24"/>
        </w:rPr>
        <w:t>对木竹浆制造中漂白化学木浆、本色化学木浆、化学机械木浆的用水定额进行了修订；</w:t>
      </w:r>
    </w:p>
    <w:p w14:paraId="6BD8D9B5">
      <w:pPr>
        <w:spacing w:line="360" w:lineRule="auto"/>
        <w:ind w:firstLine="480" w:firstLineChars="200"/>
        <w:rPr>
          <w:rFonts w:ascii="Times New Roman" w:hAnsi="Times New Roman"/>
          <w:sz w:val="24"/>
        </w:rPr>
      </w:pPr>
      <w:r>
        <w:rPr>
          <w:rFonts w:hint="eastAsia" w:ascii="Times New Roman" w:hAnsi="Times New Roman"/>
          <w:sz w:val="24"/>
        </w:rPr>
        <w:t>对非木竹浆制造中漂白化学非木浆、脱墨废纸浆、未脱墨废纸浆的用水定额进行了修订；</w:t>
      </w:r>
    </w:p>
    <w:p w14:paraId="0B5C74E9">
      <w:pPr>
        <w:spacing w:line="360" w:lineRule="auto"/>
        <w:ind w:firstLine="480" w:firstLineChars="200"/>
        <w:rPr>
          <w:rFonts w:ascii="Times New Roman" w:hAnsi="Times New Roman"/>
          <w:sz w:val="24"/>
        </w:rPr>
      </w:pPr>
      <w:r>
        <w:rPr>
          <w:rFonts w:hint="eastAsia" w:ascii="Times New Roman" w:hAnsi="Times New Roman"/>
          <w:sz w:val="24"/>
        </w:rPr>
        <w:t>对机制纸及纸板制造的箱纸板、白纸板、瓦楞原纸、新闻纸、未涂布印刷书写纸、生活用纸的用水定额进行了修订；</w:t>
      </w:r>
    </w:p>
    <w:p w14:paraId="088E5934">
      <w:pPr>
        <w:spacing w:line="360" w:lineRule="auto"/>
        <w:ind w:firstLine="480" w:firstLineChars="200"/>
        <w:rPr>
          <w:rFonts w:ascii="Times New Roman" w:hAnsi="Times New Roman"/>
          <w:sz w:val="24"/>
        </w:rPr>
      </w:pPr>
      <w:r>
        <w:rPr>
          <w:rFonts w:hint="eastAsia" w:ascii="Times New Roman" w:hAnsi="Times New Roman"/>
          <w:sz w:val="24"/>
        </w:rPr>
        <w:t>对煤制合成气生产中煤制合成天然气的用水定额进行了修订；</w:t>
      </w:r>
    </w:p>
    <w:p w14:paraId="52798A02">
      <w:pPr>
        <w:spacing w:line="360" w:lineRule="auto"/>
        <w:ind w:firstLine="480" w:firstLineChars="200"/>
        <w:rPr>
          <w:rFonts w:ascii="Times New Roman" w:hAnsi="Times New Roman"/>
          <w:sz w:val="24"/>
        </w:rPr>
      </w:pPr>
      <w:r>
        <w:rPr>
          <w:rFonts w:hint="eastAsia" w:ascii="Times New Roman" w:hAnsi="Times New Roman"/>
          <w:sz w:val="24"/>
        </w:rPr>
        <w:t>对无机酸制造中工业硫酸、盐酸、湿法磷酸的用水定额进行了修订；</w:t>
      </w:r>
    </w:p>
    <w:p w14:paraId="0970C44E">
      <w:pPr>
        <w:spacing w:line="360" w:lineRule="auto"/>
        <w:ind w:firstLine="480" w:firstLineChars="200"/>
        <w:rPr>
          <w:rFonts w:ascii="Times New Roman" w:hAnsi="Times New Roman"/>
          <w:sz w:val="24"/>
        </w:rPr>
      </w:pPr>
      <w:r>
        <w:rPr>
          <w:rFonts w:hint="eastAsia" w:ascii="Times New Roman" w:hAnsi="Times New Roman"/>
          <w:sz w:val="24"/>
        </w:rPr>
        <w:t>对有机化学原料制造中环氧丙烷的用水定额进行了修订；</w:t>
      </w:r>
    </w:p>
    <w:p w14:paraId="3E3DB02D">
      <w:pPr>
        <w:spacing w:line="360" w:lineRule="auto"/>
        <w:ind w:firstLine="480" w:firstLineChars="200"/>
        <w:rPr>
          <w:rFonts w:ascii="Times New Roman" w:hAnsi="Times New Roman"/>
          <w:sz w:val="24"/>
        </w:rPr>
      </w:pPr>
      <w:r>
        <w:rPr>
          <w:rFonts w:hint="eastAsia" w:ascii="Times New Roman" w:hAnsi="Times New Roman"/>
          <w:sz w:val="24"/>
        </w:rPr>
        <w:t xml:space="preserve">对有机化学原料制造中精对苯二甲酸、醋酸乙烯、有机硅的用水定额进行了修订进行了修订； </w:t>
      </w:r>
    </w:p>
    <w:p w14:paraId="7DDB9970">
      <w:pPr>
        <w:spacing w:line="360" w:lineRule="auto"/>
        <w:ind w:firstLine="480" w:firstLineChars="200"/>
        <w:rPr>
          <w:rFonts w:ascii="Times New Roman" w:hAnsi="Times New Roman"/>
          <w:sz w:val="24"/>
        </w:rPr>
      </w:pPr>
      <w:r>
        <w:rPr>
          <w:rFonts w:hint="eastAsia" w:ascii="Times New Roman" w:hAnsi="Times New Roman"/>
          <w:sz w:val="24"/>
        </w:rPr>
        <w:t>对氮肥制造中尿素、碳酸氢铵、氯化铵、氨水、碳铵、磷酸氢钙、磷酸一铵、磷酸二铵、磷酸氢二氨、硝酸磷肥、过磷酸钙、重过磷酸钙的用水定额进行了修订进行了修订；</w:t>
      </w:r>
    </w:p>
    <w:p w14:paraId="2E472589">
      <w:pPr>
        <w:spacing w:line="360" w:lineRule="auto"/>
        <w:ind w:firstLine="480" w:firstLineChars="200"/>
        <w:rPr>
          <w:rFonts w:ascii="Times New Roman" w:hAnsi="Times New Roman"/>
          <w:sz w:val="24"/>
        </w:rPr>
      </w:pPr>
      <w:r>
        <w:rPr>
          <w:rFonts w:hint="eastAsia" w:ascii="Times New Roman" w:hAnsi="Times New Roman"/>
          <w:sz w:val="24"/>
        </w:rPr>
        <w:t>对工业颜料制造中钛白粉的用水定额进行了修订进行了修订；</w:t>
      </w:r>
    </w:p>
    <w:p w14:paraId="2884F1ED">
      <w:pPr>
        <w:spacing w:line="360" w:lineRule="auto"/>
        <w:ind w:firstLine="480" w:firstLineChars="200"/>
        <w:rPr>
          <w:rFonts w:ascii="Times New Roman" w:hAnsi="Times New Roman"/>
          <w:sz w:val="24"/>
        </w:rPr>
      </w:pPr>
      <w:r>
        <w:rPr>
          <w:rFonts w:hint="eastAsia" w:ascii="Times New Roman" w:hAnsi="Times New Roman"/>
          <w:sz w:val="24"/>
        </w:rPr>
        <w:t>对染料制造中分散染料、还原染料、有机染料的用水定额进行了修订；</w:t>
      </w:r>
    </w:p>
    <w:p w14:paraId="2051DFF2">
      <w:pPr>
        <w:spacing w:line="360" w:lineRule="auto"/>
        <w:ind w:firstLine="480" w:firstLineChars="200"/>
        <w:rPr>
          <w:rFonts w:ascii="Times New Roman" w:hAnsi="Times New Roman"/>
          <w:sz w:val="24"/>
        </w:rPr>
      </w:pPr>
      <w:r>
        <w:rPr>
          <w:rFonts w:hint="eastAsia" w:ascii="Times New Roman" w:hAnsi="Times New Roman"/>
          <w:sz w:val="24"/>
        </w:rPr>
        <w:t>对初级形态的塑料及合成树脂制造中乙烯、丙烯的用水定额进行了修订；</w:t>
      </w:r>
    </w:p>
    <w:p w14:paraId="2A8BCDB3">
      <w:pPr>
        <w:spacing w:line="360" w:lineRule="auto"/>
        <w:ind w:firstLine="480" w:firstLineChars="200"/>
        <w:rPr>
          <w:rFonts w:ascii="Times New Roman" w:hAnsi="Times New Roman"/>
          <w:sz w:val="24"/>
        </w:rPr>
      </w:pPr>
      <w:r>
        <w:rPr>
          <w:rFonts w:hint="eastAsia" w:ascii="Times New Roman" w:hAnsi="Times New Roman"/>
          <w:sz w:val="24"/>
        </w:rPr>
        <w:t>对合成橡胶制造中</w:t>
      </w:r>
      <w:r>
        <w:rPr>
          <w:rFonts w:hint="eastAsia" w:ascii="Times New Roman" w:hAnsi="Times New Roman"/>
          <w:sz w:val="24"/>
        </w:rPr>
        <w:tab/>
      </w:r>
      <w:r>
        <w:rPr>
          <w:rFonts w:hint="eastAsia" w:ascii="Times New Roman" w:hAnsi="Times New Roman"/>
          <w:sz w:val="24"/>
        </w:rPr>
        <w:tab/>
      </w:r>
      <w:r>
        <w:rPr>
          <w:rFonts w:hint="eastAsia" w:ascii="Times New Roman" w:hAnsi="Times New Roman"/>
          <w:sz w:val="24"/>
        </w:rPr>
        <w:t>硅橡胶、丁苯橡胶、</w:t>
      </w:r>
      <w:r>
        <w:rPr>
          <w:rFonts w:hint="eastAsia" w:ascii="Times New Roman" w:hAnsi="Times New Roman"/>
          <w:sz w:val="24"/>
        </w:rPr>
        <w:tab/>
      </w:r>
      <w:r>
        <w:rPr>
          <w:rFonts w:hint="eastAsia" w:ascii="Times New Roman" w:hAnsi="Times New Roman"/>
          <w:sz w:val="24"/>
        </w:rPr>
        <w:t>混炼胶的用水定额进行了修订；</w:t>
      </w:r>
    </w:p>
    <w:p w14:paraId="6C49DD18">
      <w:pPr>
        <w:spacing w:line="360" w:lineRule="auto"/>
        <w:ind w:firstLine="480" w:firstLineChars="200"/>
        <w:rPr>
          <w:rFonts w:ascii="Times New Roman" w:hAnsi="Times New Roman"/>
          <w:sz w:val="24"/>
        </w:rPr>
      </w:pPr>
      <w:r>
        <w:rPr>
          <w:rFonts w:hint="eastAsia" w:ascii="Times New Roman" w:hAnsi="Times New Roman"/>
          <w:sz w:val="24"/>
        </w:rPr>
        <w:t>对肥皂及合成洗涤剂制造中</w:t>
      </w:r>
      <w:r>
        <w:rPr>
          <w:rFonts w:hint="eastAsia" w:ascii="Times New Roman" w:hAnsi="Times New Roman"/>
          <w:sz w:val="24"/>
        </w:rPr>
        <w:tab/>
      </w:r>
      <w:r>
        <w:rPr>
          <w:rFonts w:hint="eastAsia" w:ascii="Times New Roman" w:hAnsi="Times New Roman"/>
          <w:sz w:val="24"/>
        </w:rPr>
        <w:tab/>
      </w:r>
      <w:r>
        <w:rPr>
          <w:rFonts w:hint="eastAsia" w:ascii="Times New Roman" w:hAnsi="Times New Roman"/>
          <w:sz w:val="24"/>
        </w:rPr>
        <w:t>肥皂、洗涤剂、洗衣粉的用水定额进行了修订；</w:t>
      </w:r>
    </w:p>
    <w:p w14:paraId="7A2676AA">
      <w:pPr>
        <w:spacing w:line="360" w:lineRule="auto"/>
        <w:ind w:firstLine="480" w:firstLineChars="200"/>
        <w:rPr>
          <w:rFonts w:ascii="Times New Roman" w:hAnsi="Times New Roman"/>
          <w:sz w:val="24"/>
        </w:rPr>
      </w:pPr>
      <w:r>
        <w:rPr>
          <w:rFonts w:hint="eastAsia" w:ascii="Times New Roman" w:hAnsi="Times New Roman"/>
          <w:sz w:val="24"/>
        </w:rPr>
        <w:t>对化学药品原料药制造中维生素C（化学原料药）、维生素B2、维生素E、青霉素工业盐（化学药物中间体）的用水定额进行了修订；</w:t>
      </w:r>
    </w:p>
    <w:p w14:paraId="54DBA0B7">
      <w:pPr>
        <w:spacing w:line="360" w:lineRule="auto"/>
        <w:ind w:firstLine="480" w:firstLineChars="200"/>
        <w:rPr>
          <w:rFonts w:ascii="Times New Roman" w:hAnsi="Times New Roman"/>
          <w:sz w:val="24"/>
        </w:rPr>
      </w:pPr>
      <w:r>
        <w:rPr>
          <w:rFonts w:hint="eastAsia" w:ascii="Times New Roman" w:hAnsi="Times New Roman"/>
          <w:sz w:val="24"/>
        </w:rPr>
        <w:t>对人造纤维制造中粘胶长丝、粘胶短纤维的用水定额进行了修订；</w:t>
      </w:r>
    </w:p>
    <w:p w14:paraId="15469763">
      <w:pPr>
        <w:spacing w:line="360" w:lineRule="auto"/>
        <w:ind w:firstLine="480" w:firstLineChars="200"/>
        <w:rPr>
          <w:rFonts w:ascii="Times New Roman" w:hAnsi="Times New Roman"/>
          <w:sz w:val="24"/>
        </w:rPr>
      </w:pPr>
      <w:r>
        <w:rPr>
          <w:rFonts w:hint="eastAsia" w:ascii="Times New Roman" w:hAnsi="Times New Roman"/>
          <w:sz w:val="24"/>
        </w:rPr>
        <w:t>对人轮胎制造中轮胎外胎、轮胎内胎、翻新轮胎的用水定额进行了修订；</w:t>
      </w:r>
    </w:p>
    <w:p w14:paraId="5F874944">
      <w:pPr>
        <w:spacing w:line="360" w:lineRule="auto"/>
        <w:ind w:firstLine="480" w:firstLineChars="200"/>
        <w:rPr>
          <w:rFonts w:ascii="Times New Roman" w:hAnsi="Times New Roman"/>
          <w:sz w:val="24"/>
        </w:rPr>
      </w:pPr>
      <w:r>
        <w:rPr>
          <w:rFonts w:hint="eastAsia" w:ascii="Times New Roman" w:hAnsi="Times New Roman"/>
          <w:sz w:val="24"/>
        </w:rPr>
        <w:t>对水泥制造中水泥的用水定额进行了修订；</w:t>
      </w:r>
    </w:p>
    <w:p w14:paraId="11AE7EC6">
      <w:pPr>
        <w:spacing w:line="360" w:lineRule="auto"/>
        <w:ind w:firstLine="480" w:firstLineChars="200"/>
        <w:rPr>
          <w:rFonts w:ascii="Times New Roman" w:hAnsi="Times New Roman"/>
          <w:sz w:val="24"/>
        </w:rPr>
      </w:pPr>
      <w:r>
        <w:rPr>
          <w:rFonts w:hint="eastAsia" w:ascii="Times New Roman" w:hAnsi="Times New Roman"/>
          <w:sz w:val="24"/>
        </w:rPr>
        <w:t>对建筑用石加工中天然石材的用水定额进行了修订；</w:t>
      </w:r>
    </w:p>
    <w:p w14:paraId="74B33C4F">
      <w:pPr>
        <w:spacing w:line="360" w:lineRule="auto"/>
        <w:ind w:firstLine="480" w:firstLineChars="200"/>
        <w:rPr>
          <w:rFonts w:ascii="Times New Roman" w:hAnsi="Times New Roman"/>
          <w:sz w:val="24"/>
        </w:rPr>
      </w:pPr>
      <w:r>
        <w:rPr>
          <w:rFonts w:hint="eastAsia" w:ascii="Times New Roman" w:hAnsi="Times New Roman"/>
          <w:sz w:val="24"/>
        </w:rPr>
        <w:t>对平板玻璃制造中平板玻璃的用水定额进行了修订；</w:t>
      </w:r>
    </w:p>
    <w:p w14:paraId="2432A773">
      <w:pPr>
        <w:spacing w:line="360" w:lineRule="auto"/>
        <w:ind w:firstLine="480" w:firstLineChars="200"/>
        <w:rPr>
          <w:rFonts w:ascii="Times New Roman" w:hAnsi="Times New Roman"/>
          <w:sz w:val="24"/>
        </w:rPr>
      </w:pPr>
      <w:r>
        <w:rPr>
          <w:rFonts w:hint="eastAsia" w:ascii="Times New Roman" w:hAnsi="Times New Roman"/>
          <w:sz w:val="24"/>
        </w:rPr>
        <w:t>对耐火陶瓷制品及其他耐火材料制造中耐火材料、耐火砖的用水定额进行了修订；</w:t>
      </w:r>
    </w:p>
    <w:p w14:paraId="6ED6C18E">
      <w:pPr>
        <w:spacing w:line="360" w:lineRule="auto"/>
        <w:ind w:firstLine="480" w:firstLineChars="200"/>
        <w:rPr>
          <w:rFonts w:ascii="Times New Roman" w:hAnsi="Times New Roman"/>
          <w:sz w:val="24"/>
        </w:rPr>
      </w:pPr>
      <w:r>
        <w:rPr>
          <w:rFonts w:hint="eastAsia" w:ascii="Times New Roman" w:hAnsi="Times New Roman"/>
          <w:sz w:val="24"/>
        </w:rPr>
        <w:t>对炼铁中生铁的产品名称进行了修订；</w:t>
      </w:r>
    </w:p>
    <w:p w14:paraId="405C1838">
      <w:pPr>
        <w:spacing w:line="360" w:lineRule="auto"/>
        <w:ind w:firstLine="480" w:firstLineChars="200"/>
        <w:rPr>
          <w:rFonts w:ascii="Times New Roman" w:hAnsi="Times New Roman"/>
          <w:sz w:val="24"/>
        </w:rPr>
      </w:pPr>
      <w:r>
        <w:rPr>
          <w:rFonts w:hint="eastAsia" w:ascii="Times New Roman" w:hAnsi="Times New Roman"/>
          <w:sz w:val="24"/>
        </w:rPr>
        <w:t>对铁合金冶炼中高铬合金、硅锰合金、硼铁合金、锰铁合金、硅铁合金的用水定额进行了修订；</w:t>
      </w:r>
    </w:p>
    <w:p w14:paraId="60310C95">
      <w:pPr>
        <w:spacing w:line="360" w:lineRule="auto"/>
        <w:ind w:firstLine="480" w:firstLineChars="200"/>
        <w:rPr>
          <w:rFonts w:ascii="Times New Roman" w:hAnsi="Times New Roman"/>
          <w:sz w:val="24"/>
        </w:rPr>
      </w:pPr>
      <w:r>
        <w:rPr>
          <w:rFonts w:hint="eastAsia" w:ascii="Times New Roman" w:hAnsi="Times New Roman"/>
          <w:sz w:val="24"/>
        </w:rPr>
        <w:t>对铝冶炼中氧化铝的用水定额进行了修订；</w:t>
      </w:r>
    </w:p>
    <w:p w14:paraId="2BEE1184">
      <w:pPr>
        <w:spacing w:line="360" w:lineRule="auto"/>
        <w:ind w:firstLine="480" w:firstLineChars="200"/>
        <w:rPr>
          <w:rFonts w:ascii="Times New Roman" w:hAnsi="Times New Roman"/>
          <w:sz w:val="24"/>
        </w:rPr>
      </w:pPr>
      <w:r>
        <w:rPr>
          <w:rFonts w:hint="eastAsia" w:ascii="Times New Roman" w:hAnsi="Times New Roman"/>
          <w:sz w:val="24"/>
        </w:rPr>
        <w:t>对镁冶炼中镁冶炼、轻烧氧化镁的用水定额进行了修订；</w:t>
      </w:r>
    </w:p>
    <w:p w14:paraId="4D058584">
      <w:pPr>
        <w:spacing w:line="360" w:lineRule="auto"/>
        <w:ind w:firstLine="480" w:firstLineChars="200"/>
        <w:rPr>
          <w:rFonts w:ascii="Times New Roman" w:hAnsi="Times New Roman"/>
          <w:sz w:val="24"/>
        </w:rPr>
      </w:pPr>
      <w:r>
        <w:rPr>
          <w:rFonts w:hint="eastAsia" w:ascii="Times New Roman" w:hAnsi="Times New Roman"/>
          <w:sz w:val="24"/>
        </w:rPr>
        <w:t>对铝压延加工中铝材的用水定额进行了修订；</w:t>
      </w:r>
    </w:p>
    <w:p w14:paraId="1D762A53">
      <w:pPr>
        <w:spacing w:line="360" w:lineRule="auto"/>
        <w:ind w:firstLine="480" w:firstLineChars="200"/>
        <w:rPr>
          <w:rFonts w:ascii="Times New Roman" w:hAnsi="Times New Roman"/>
          <w:sz w:val="24"/>
        </w:rPr>
      </w:pPr>
      <w:r>
        <w:rPr>
          <w:rFonts w:hint="eastAsia" w:ascii="Times New Roman" w:hAnsi="Times New Roman"/>
          <w:sz w:val="24"/>
        </w:rPr>
        <w:t>对金属切削机床制造中机床的用水定额进行了修订；</w:t>
      </w:r>
    </w:p>
    <w:p w14:paraId="131BC292">
      <w:pPr>
        <w:spacing w:line="360" w:lineRule="auto"/>
        <w:ind w:firstLine="480" w:firstLineChars="200"/>
        <w:rPr>
          <w:rFonts w:ascii="Times New Roman" w:hAnsi="Times New Roman"/>
          <w:sz w:val="24"/>
        </w:rPr>
      </w:pPr>
      <w:r>
        <w:rPr>
          <w:rFonts w:hint="eastAsia" w:ascii="Times New Roman" w:hAnsi="Times New Roman"/>
          <w:sz w:val="24"/>
        </w:rPr>
        <w:t>对轴承制造中轴承的用水定额进行了修订；</w:t>
      </w:r>
    </w:p>
    <w:p w14:paraId="2AD2A44C">
      <w:pPr>
        <w:spacing w:line="360" w:lineRule="auto"/>
        <w:ind w:firstLine="480" w:firstLineChars="200"/>
        <w:rPr>
          <w:rFonts w:ascii="Times New Roman" w:hAnsi="Times New Roman"/>
          <w:sz w:val="24"/>
        </w:rPr>
      </w:pPr>
      <w:r>
        <w:rPr>
          <w:rFonts w:hint="eastAsia" w:ascii="Times New Roman" w:hAnsi="Times New Roman"/>
          <w:sz w:val="24"/>
        </w:rPr>
        <w:t>对汽车整车制造中大型客车、中型卡车、轻型货车、轿车的用水定额进行了修订；</w:t>
      </w:r>
    </w:p>
    <w:p w14:paraId="44E5A591">
      <w:pPr>
        <w:spacing w:line="360" w:lineRule="auto"/>
        <w:ind w:firstLine="480" w:firstLineChars="200"/>
        <w:rPr>
          <w:rFonts w:ascii="Times New Roman" w:hAnsi="Times New Roman"/>
          <w:sz w:val="24"/>
        </w:rPr>
      </w:pPr>
      <w:r>
        <w:rPr>
          <w:rFonts w:hint="eastAsia" w:ascii="Times New Roman" w:hAnsi="Times New Roman"/>
          <w:sz w:val="24"/>
        </w:rPr>
        <w:t>对电动机制造中电动机的用水定额进行了修订；</w:t>
      </w:r>
    </w:p>
    <w:p w14:paraId="57FD456C">
      <w:pPr>
        <w:spacing w:line="360" w:lineRule="auto"/>
        <w:ind w:firstLine="480" w:firstLineChars="200"/>
        <w:rPr>
          <w:rFonts w:ascii="Times New Roman" w:hAnsi="Times New Roman"/>
          <w:sz w:val="24"/>
        </w:rPr>
      </w:pPr>
      <w:r>
        <w:rPr>
          <w:rFonts w:hint="eastAsia" w:ascii="Times New Roman" w:hAnsi="Times New Roman"/>
          <w:sz w:val="24"/>
        </w:rPr>
        <w:t>对家用制冷电器具制造中电冰箱的用水定额进行了修订；</w:t>
      </w:r>
    </w:p>
    <w:p w14:paraId="08A60A5C">
      <w:pPr>
        <w:spacing w:line="360" w:lineRule="auto"/>
        <w:ind w:firstLine="480" w:firstLineChars="200"/>
        <w:rPr>
          <w:rFonts w:ascii="Times New Roman" w:hAnsi="Times New Roman"/>
          <w:sz w:val="24"/>
        </w:rPr>
      </w:pPr>
      <w:r>
        <w:rPr>
          <w:rFonts w:hint="eastAsia" w:ascii="Times New Roman" w:hAnsi="Times New Roman"/>
          <w:sz w:val="24"/>
        </w:rPr>
        <w:t>对家用影视设备制造中彩色电视机的用水定额进行了修订；</w:t>
      </w:r>
    </w:p>
    <w:p w14:paraId="348B1E8C">
      <w:pPr>
        <w:spacing w:line="360" w:lineRule="auto"/>
        <w:ind w:firstLine="480" w:firstLineChars="200"/>
        <w:rPr>
          <w:rFonts w:ascii="Times New Roman" w:hAnsi="Times New Roman"/>
          <w:sz w:val="24"/>
        </w:rPr>
      </w:pPr>
      <w:r>
        <w:rPr>
          <w:rFonts w:hint="eastAsia" w:ascii="Times New Roman" w:hAnsi="Times New Roman"/>
          <w:sz w:val="24"/>
        </w:rPr>
        <w:t>对核力发电中核力发电企业的用水定额进行了修订。</w:t>
      </w:r>
    </w:p>
    <w:p w14:paraId="4AC17F4A">
      <w:pPr>
        <w:pStyle w:val="2"/>
        <w:keepNext/>
        <w:keepLines/>
        <w:pageBreakBefore w:val="0"/>
        <w:widowControl w:val="0"/>
        <w:numPr>
          <w:ilvl w:val="0"/>
          <w:numId w:val="2"/>
        </w:numPr>
        <w:kinsoku/>
        <w:wordWrap/>
        <w:overflowPunct/>
        <w:topLinePunct w:val="0"/>
        <w:autoSpaceDE/>
        <w:autoSpaceDN/>
        <w:bidi w:val="0"/>
        <w:adjustRightInd/>
        <w:snapToGrid/>
        <w:spacing w:before="0" w:after="0" w:line="240" w:lineRule="auto"/>
        <w:ind w:left="420" w:leftChars="0" w:hanging="420" w:firstLineChars="0"/>
        <w:textAlignment w:val="auto"/>
        <w:rPr>
          <w:rFonts w:hint="eastAsia" w:ascii="楷体_GB2312" w:hAnsi="楷体_GB2312" w:eastAsia="楷体_GB2312" w:cs="楷体_GB2312"/>
        </w:rPr>
      </w:pPr>
      <w:r>
        <w:rPr>
          <w:rFonts w:hint="eastAsia" w:ascii="楷体_GB2312" w:hAnsi="楷体_GB2312" w:eastAsia="楷体_GB2312" w:cs="楷体_GB2312"/>
        </w:rPr>
        <w:t xml:space="preserve"> D电力、燃气及水的生产和供应业</w:t>
      </w:r>
    </w:p>
    <w:p w14:paraId="4913C814">
      <w:pPr>
        <w:pStyle w:val="47"/>
        <w:spacing w:line="360" w:lineRule="auto"/>
        <w:ind w:firstLine="480"/>
        <w:jc w:val="left"/>
        <w:rPr>
          <w:rFonts w:ascii="Times New Roman" w:hAnsi="Times New Roman"/>
          <w:sz w:val="24"/>
        </w:rPr>
      </w:pPr>
      <w:r>
        <w:rPr>
          <w:rFonts w:hint="eastAsia" w:ascii="Times New Roman" w:hAnsi="Times New Roman"/>
          <w:sz w:val="24"/>
        </w:rPr>
        <w:t>（1）用水定额补充</w:t>
      </w:r>
    </w:p>
    <w:p w14:paraId="06D03AEC">
      <w:pPr>
        <w:spacing w:line="360" w:lineRule="auto"/>
        <w:ind w:firstLine="480" w:firstLineChars="200"/>
        <w:rPr>
          <w:rFonts w:ascii="Times New Roman" w:hAnsi="Times New Roman"/>
          <w:sz w:val="24"/>
        </w:rPr>
      </w:pPr>
      <w:r>
        <w:rPr>
          <w:rFonts w:hint="eastAsia" w:ascii="Times New Roman" w:hAnsi="Times New Roman"/>
          <w:sz w:val="24"/>
        </w:rPr>
        <w:t>本次电力、燃气及水的生产和供应业新增了3种产品。</w:t>
      </w:r>
    </w:p>
    <w:p w14:paraId="393C63EE">
      <w:pPr>
        <w:spacing w:line="360" w:lineRule="auto"/>
        <w:ind w:firstLine="480" w:firstLineChars="200"/>
        <w:rPr>
          <w:rFonts w:ascii="Times New Roman" w:hAnsi="Times New Roman"/>
          <w:sz w:val="24"/>
        </w:rPr>
      </w:pPr>
    </w:p>
    <w:p w14:paraId="6BDE5B26">
      <w:pPr>
        <w:pStyle w:val="7"/>
        <w:keepNext/>
        <w:rPr>
          <w:rFonts w:ascii="Times New Roman" w:hAnsi="Times New Roman"/>
          <w:sz w:val="21"/>
          <w:szCs w:val="21"/>
        </w:rPr>
      </w:pPr>
      <w:r>
        <w:rPr>
          <w:rFonts w:ascii="Times New Roman" w:hAnsi="Times New Roman"/>
          <w:sz w:val="21"/>
          <w:szCs w:val="21"/>
        </w:rPr>
        <w:t xml:space="preserve">表 5            </w:t>
      </w:r>
      <w:r>
        <w:rPr>
          <w:rFonts w:hint="eastAsia" w:ascii="Times New Roman" w:hAnsi="Times New Roman"/>
          <w:sz w:val="21"/>
          <w:szCs w:val="21"/>
        </w:rPr>
        <w:t>电力、燃气及水的生产和供应业产品名称及归类明细表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307"/>
        <w:gridCol w:w="1703"/>
        <w:gridCol w:w="1417"/>
        <w:gridCol w:w="2698"/>
        <w:gridCol w:w="761"/>
      </w:tblGrid>
      <w:tr w14:paraId="6318C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vMerge w:val="restart"/>
            <w:noWrap/>
            <w:vAlign w:val="center"/>
          </w:tcPr>
          <w:p w14:paraId="3AFD1558">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764" w:type="pct"/>
            <w:gridSpan w:val="2"/>
            <w:noWrap/>
            <w:vAlign w:val="center"/>
          </w:tcPr>
          <w:p w14:paraId="0EC27013">
            <w:pPr>
              <w:widowControl/>
              <w:jc w:val="center"/>
              <w:rPr>
                <w:rFonts w:ascii="宋体" w:hAnsi="宋体" w:cs="宋体"/>
                <w:b/>
                <w:bCs/>
                <w:color w:val="000000"/>
                <w:kern w:val="0"/>
                <w:szCs w:val="21"/>
              </w:rPr>
            </w:pPr>
            <w:r>
              <w:rPr>
                <w:rFonts w:hint="eastAsia" w:ascii="宋体" w:hAnsi="宋体" w:cs="宋体"/>
                <w:b/>
                <w:bCs/>
                <w:color w:val="000000"/>
                <w:kern w:val="0"/>
                <w:szCs w:val="21"/>
              </w:rPr>
              <w:t>产品名称</w:t>
            </w:r>
          </w:p>
        </w:tc>
        <w:tc>
          <w:tcPr>
            <w:tcW w:w="2412" w:type="pct"/>
            <w:gridSpan w:val="2"/>
            <w:vAlign w:val="center"/>
          </w:tcPr>
          <w:p w14:paraId="7A1C6D1B">
            <w:pPr>
              <w:widowControl/>
              <w:jc w:val="center"/>
              <w:rPr>
                <w:rFonts w:ascii="宋体" w:hAnsi="宋体" w:cs="宋体"/>
                <w:b/>
                <w:bCs/>
                <w:color w:val="000000"/>
                <w:kern w:val="0"/>
                <w:szCs w:val="21"/>
              </w:rPr>
            </w:pPr>
            <w:r>
              <w:rPr>
                <w:rFonts w:hint="eastAsia" w:ascii="宋体" w:hAnsi="宋体" w:cs="宋体"/>
                <w:b/>
                <w:bCs/>
                <w:color w:val="000000"/>
                <w:kern w:val="0"/>
                <w:szCs w:val="21"/>
              </w:rPr>
              <w:t>行业分类</w:t>
            </w:r>
          </w:p>
        </w:tc>
        <w:tc>
          <w:tcPr>
            <w:tcW w:w="446" w:type="pct"/>
            <w:vMerge w:val="restart"/>
            <w:vAlign w:val="center"/>
          </w:tcPr>
          <w:p w14:paraId="2EA9C579">
            <w:pPr>
              <w:widowControl/>
              <w:jc w:val="center"/>
              <w:rPr>
                <w:rFonts w:ascii="宋体" w:hAnsi="宋体" w:cs="宋体"/>
                <w:b/>
                <w:bCs/>
                <w:color w:val="000000"/>
                <w:kern w:val="0"/>
                <w:szCs w:val="21"/>
              </w:rPr>
            </w:pPr>
            <w:r>
              <w:rPr>
                <w:rFonts w:hint="eastAsia" w:ascii="宋体" w:hAnsi="宋体" w:cs="宋体"/>
                <w:b/>
                <w:bCs/>
                <w:color w:val="000000"/>
                <w:kern w:val="0"/>
                <w:szCs w:val="21"/>
              </w:rPr>
              <w:t>备注</w:t>
            </w:r>
          </w:p>
        </w:tc>
      </w:tr>
      <w:tr w14:paraId="0696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vMerge w:val="continue"/>
            <w:vAlign w:val="center"/>
          </w:tcPr>
          <w:p w14:paraId="5599EED3">
            <w:pPr>
              <w:widowControl/>
              <w:jc w:val="center"/>
              <w:rPr>
                <w:rFonts w:ascii="宋体" w:hAnsi="宋体" w:cs="宋体"/>
                <w:b/>
                <w:bCs/>
                <w:color w:val="000000"/>
                <w:kern w:val="0"/>
                <w:szCs w:val="21"/>
              </w:rPr>
            </w:pPr>
          </w:p>
        </w:tc>
        <w:tc>
          <w:tcPr>
            <w:tcW w:w="766" w:type="pct"/>
            <w:vAlign w:val="center"/>
          </w:tcPr>
          <w:p w14:paraId="1207FE98">
            <w:pPr>
              <w:widowControl/>
              <w:jc w:val="center"/>
              <w:rPr>
                <w:rFonts w:ascii="宋体" w:hAnsi="宋体" w:cs="宋体"/>
                <w:b/>
                <w:bCs/>
                <w:color w:val="000000"/>
                <w:kern w:val="0"/>
                <w:szCs w:val="21"/>
              </w:rPr>
            </w:pPr>
            <w:r>
              <w:rPr>
                <w:rFonts w:hint="eastAsia" w:ascii="宋体" w:hAnsi="宋体" w:cs="宋体"/>
                <w:b/>
                <w:bCs/>
                <w:color w:val="000000"/>
                <w:kern w:val="0"/>
                <w:szCs w:val="21"/>
              </w:rPr>
              <w:t>修订前</w:t>
            </w:r>
          </w:p>
        </w:tc>
        <w:tc>
          <w:tcPr>
            <w:tcW w:w="997" w:type="pct"/>
            <w:vAlign w:val="center"/>
          </w:tcPr>
          <w:p w14:paraId="6E1E4094">
            <w:pPr>
              <w:widowControl/>
              <w:jc w:val="center"/>
              <w:rPr>
                <w:rFonts w:ascii="宋体" w:hAnsi="宋体" w:cs="宋体"/>
                <w:b/>
                <w:bCs/>
                <w:color w:val="000000"/>
                <w:kern w:val="0"/>
                <w:szCs w:val="21"/>
              </w:rPr>
            </w:pPr>
            <w:r>
              <w:rPr>
                <w:rFonts w:hint="eastAsia" w:ascii="宋体" w:hAnsi="宋体" w:cs="宋体"/>
                <w:b/>
                <w:bCs/>
                <w:color w:val="000000"/>
                <w:kern w:val="0"/>
                <w:szCs w:val="21"/>
              </w:rPr>
              <w:t>修订后</w:t>
            </w:r>
          </w:p>
        </w:tc>
        <w:tc>
          <w:tcPr>
            <w:tcW w:w="831" w:type="pct"/>
            <w:vAlign w:val="center"/>
          </w:tcPr>
          <w:p w14:paraId="59564E0A">
            <w:pPr>
              <w:widowControl/>
              <w:jc w:val="center"/>
              <w:rPr>
                <w:rFonts w:ascii="宋体" w:hAnsi="宋体" w:cs="宋体"/>
                <w:b/>
                <w:bCs/>
                <w:color w:val="000000"/>
                <w:kern w:val="0"/>
                <w:szCs w:val="21"/>
              </w:rPr>
            </w:pPr>
            <w:r>
              <w:rPr>
                <w:rFonts w:hint="eastAsia" w:ascii="宋体" w:hAnsi="宋体" w:cs="宋体"/>
                <w:b/>
                <w:bCs/>
                <w:color w:val="000000"/>
                <w:kern w:val="0"/>
                <w:szCs w:val="21"/>
              </w:rPr>
              <w:t>修订前</w:t>
            </w:r>
          </w:p>
        </w:tc>
        <w:tc>
          <w:tcPr>
            <w:tcW w:w="1580" w:type="pct"/>
            <w:vAlign w:val="center"/>
          </w:tcPr>
          <w:p w14:paraId="6F6BA324">
            <w:pPr>
              <w:widowControl/>
              <w:jc w:val="center"/>
              <w:rPr>
                <w:rFonts w:ascii="宋体" w:hAnsi="宋体" w:cs="宋体"/>
                <w:b/>
                <w:bCs/>
                <w:color w:val="000000"/>
                <w:kern w:val="0"/>
                <w:szCs w:val="21"/>
              </w:rPr>
            </w:pPr>
            <w:r>
              <w:rPr>
                <w:rFonts w:hint="eastAsia" w:ascii="宋体" w:hAnsi="宋体" w:cs="宋体"/>
                <w:b/>
                <w:bCs/>
                <w:color w:val="000000"/>
                <w:kern w:val="0"/>
                <w:szCs w:val="21"/>
              </w:rPr>
              <w:t>修订后</w:t>
            </w:r>
          </w:p>
        </w:tc>
        <w:tc>
          <w:tcPr>
            <w:tcW w:w="446" w:type="pct"/>
            <w:vMerge w:val="continue"/>
            <w:vAlign w:val="center"/>
          </w:tcPr>
          <w:p w14:paraId="64A57A4E">
            <w:pPr>
              <w:widowControl/>
              <w:jc w:val="center"/>
              <w:rPr>
                <w:rFonts w:ascii="宋体" w:hAnsi="宋体" w:cs="宋体"/>
                <w:b/>
                <w:bCs/>
                <w:color w:val="000000"/>
                <w:kern w:val="0"/>
                <w:szCs w:val="21"/>
              </w:rPr>
            </w:pPr>
          </w:p>
        </w:tc>
      </w:tr>
      <w:tr w14:paraId="49CB7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shd w:val="clear" w:color="auto" w:fill="auto"/>
            <w:noWrap/>
            <w:vAlign w:val="center"/>
          </w:tcPr>
          <w:p w14:paraId="08DDBD48">
            <w:pPr>
              <w:jc w:val="center"/>
              <w:rPr>
                <w:rFonts w:ascii="宋体" w:hAnsi="宋体" w:cs="宋体"/>
                <w:color w:val="000000"/>
                <w:kern w:val="0"/>
                <w:szCs w:val="21"/>
              </w:rPr>
            </w:pPr>
            <w:r>
              <w:rPr>
                <w:rFonts w:hint="eastAsia" w:ascii="宋体" w:hAnsi="宋体" w:cs="宋体"/>
                <w:color w:val="000000"/>
                <w:kern w:val="0"/>
                <w:szCs w:val="21"/>
              </w:rPr>
              <w:t>1</w:t>
            </w:r>
          </w:p>
        </w:tc>
        <w:tc>
          <w:tcPr>
            <w:tcW w:w="766" w:type="pct"/>
            <w:shd w:val="clear" w:color="auto" w:fill="auto"/>
            <w:vAlign w:val="center"/>
          </w:tcPr>
          <w:p w14:paraId="47E7BDC3">
            <w:pPr>
              <w:jc w:val="center"/>
              <w:rPr>
                <w:rFonts w:ascii="宋体" w:hAnsi="宋体" w:cs="宋体"/>
                <w:color w:val="000000"/>
                <w:kern w:val="0"/>
                <w:szCs w:val="21"/>
              </w:rPr>
            </w:pPr>
            <w:r>
              <w:rPr>
                <w:rFonts w:ascii="宋体" w:hAnsi="宋体" w:cs="宋体"/>
                <w:color w:val="000000"/>
                <w:kern w:val="0"/>
                <w:szCs w:val="21"/>
              </w:rPr>
              <w:t>/</w:t>
            </w:r>
          </w:p>
        </w:tc>
        <w:tc>
          <w:tcPr>
            <w:tcW w:w="997" w:type="pct"/>
            <w:shd w:val="clear" w:color="auto" w:fill="auto"/>
            <w:vAlign w:val="center"/>
          </w:tcPr>
          <w:p w14:paraId="7F304016">
            <w:pPr>
              <w:widowControl/>
              <w:jc w:val="center"/>
              <w:rPr>
                <w:rFonts w:ascii="宋体" w:hAnsi="宋体" w:cs="宋体"/>
                <w:color w:val="000000"/>
                <w:kern w:val="0"/>
                <w:szCs w:val="21"/>
              </w:rPr>
            </w:pPr>
            <w:r>
              <w:rPr>
                <w:rFonts w:hint="eastAsia" w:ascii="宋体" w:hAnsi="宋体" w:cs="宋体"/>
                <w:color w:val="000000"/>
                <w:kern w:val="0"/>
                <w:szCs w:val="21"/>
              </w:rPr>
              <w:t>风力发电</w:t>
            </w:r>
          </w:p>
        </w:tc>
        <w:tc>
          <w:tcPr>
            <w:tcW w:w="831" w:type="pct"/>
            <w:shd w:val="clear" w:color="auto" w:fill="auto"/>
            <w:vAlign w:val="center"/>
          </w:tcPr>
          <w:p w14:paraId="65ED2E1C">
            <w:pPr>
              <w:jc w:val="center"/>
              <w:rPr>
                <w:rFonts w:ascii="宋体" w:hAnsi="宋体" w:cs="宋体"/>
                <w:color w:val="000000"/>
                <w:kern w:val="0"/>
                <w:szCs w:val="21"/>
              </w:rPr>
            </w:pPr>
            <w:r>
              <w:rPr>
                <w:rFonts w:ascii="宋体" w:hAnsi="宋体" w:cs="宋体"/>
                <w:color w:val="000000"/>
                <w:kern w:val="0"/>
                <w:szCs w:val="21"/>
              </w:rPr>
              <w:t>/</w:t>
            </w:r>
          </w:p>
        </w:tc>
        <w:tc>
          <w:tcPr>
            <w:tcW w:w="1580" w:type="pct"/>
            <w:shd w:val="clear" w:color="auto" w:fill="auto"/>
            <w:vAlign w:val="center"/>
          </w:tcPr>
          <w:p w14:paraId="41D22986">
            <w:pPr>
              <w:jc w:val="center"/>
              <w:rPr>
                <w:rFonts w:ascii="宋体" w:hAnsi="宋体" w:cs="宋体"/>
                <w:color w:val="000000"/>
                <w:kern w:val="0"/>
                <w:szCs w:val="21"/>
              </w:rPr>
            </w:pPr>
            <w:r>
              <w:rPr>
                <w:rFonts w:hint="eastAsia" w:ascii="宋体" w:hAnsi="宋体" w:cs="宋体"/>
                <w:color w:val="000000"/>
                <w:kern w:val="0"/>
                <w:szCs w:val="21"/>
              </w:rPr>
              <w:t>D4415风力发电</w:t>
            </w:r>
          </w:p>
        </w:tc>
        <w:tc>
          <w:tcPr>
            <w:tcW w:w="446" w:type="pct"/>
            <w:shd w:val="clear" w:color="auto" w:fill="auto"/>
            <w:vAlign w:val="center"/>
          </w:tcPr>
          <w:p w14:paraId="50C8C5AE">
            <w:pPr>
              <w:widowControl/>
              <w:jc w:val="center"/>
              <w:rPr>
                <w:rFonts w:ascii="宋体" w:hAnsi="宋体" w:cs="宋体"/>
                <w:color w:val="000000"/>
                <w:kern w:val="0"/>
                <w:szCs w:val="21"/>
              </w:rPr>
            </w:pPr>
            <w:r>
              <w:rPr>
                <w:rFonts w:hint="eastAsia" w:ascii="宋体" w:hAnsi="宋体" w:cs="宋体"/>
                <w:color w:val="000000"/>
                <w:kern w:val="0"/>
                <w:szCs w:val="21"/>
              </w:rPr>
              <w:t>新增</w:t>
            </w:r>
          </w:p>
        </w:tc>
      </w:tr>
      <w:tr w14:paraId="46B2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shd w:val="clear" w:color="auto" w:fill="auto"/>
            <w:noWrap/>
            <w:vAlign w:val="center"/>
          </w:tcPr>
          <w:p w14:paraId="4B4CE550">
            <w:pPr>
              <w:jc w:val="center"/>
              <w:rPr>
                <w:rFonts w:ascii="宋体" w:hAnsi="宋体" w:cs="宋体"/>
                <w:color w:val="000000"/>
                <w:kern w:val="0"/>
                <w:szCs w:val="21"/>
              </w:rPr>
            </w:pPr>
            <w:r>
              <w:rPr>
                <w:rFonts w:hint="eastAsia" w:ascii="宋体" w:hAnsi="宋体" w:cs="宋体"/>
                <w:color w:val="000000"/>
                <w:kern w:val="0"/>
                <w:szCs w:val="21"/>
              </w:rPr>
              <w:t>2</w:t>
            </w:r>
          </w:p>
        </w:tc>
        <w:tc>
          <w:tcPr>
            <w:tcW w:w="766" w:type="pct"/>
            <w:shd w:val="clear" w:color="auto" w:fill="auto"/>
            <w:vAlign w:val="center"/>
          </w:tcPr>
          <w:p w14:paraId="7D099237">
            <w:pPr>
              <w:jc w:val="center"/>
              <w:rPr>
                <w:rFonts w:ascii="宋体" w:hAnsi="宋体" w:cs="宋体"/>
                <w:color w:val="000000"/>
                <w:kern w:val="0"/>
                <w:szCs w:val="21"/>
              </w:rPr>
            </w:pPr>
            <w:r>
              <w:rPr>
                <w:rFonts w:ascii="宋体" w:hAnsi="宋体" w:cs="宋体"/>
                <w:color w:val="000000"/>
                <w:kern w:val="0"/>
                <w:szCs w:val="21"/>
              </w:rPr>
              <w:t>/</w:t>
            </w:r>
          </w:p>
        </w:tc>
        <w:tc>
          <w:tcPr>
            <w:tcW w:w="997" w:type="pct"/>
            <w:shd w:val="clear" w:color="auto" w:fill="auto"/>
            <w:vAlign w:val="center"/>
          </w:tcPr>
          <w:p w14:paraId="00F803FF">
            <w:pPr>
              <w:widowControl/>
              <w:jc w:val="center"/>
              <w:rPr>
                <w:rFonts w:ascii="宋体" w:hAnsi="宋体" w:cs="宋体"/>
                <w:color w:val="000000"/>
                <w:kern w:val="0"/>
                <w:szCs w:val="21"/>
              </w:rPr>
            </w:pPr>
            <w:r>
              <w:rPr>
                <w:rFonts w:hint="eastAsia" w:ascii="宋体" w:hAnsi="宋体" w:cs="宋体"/>
                <w:color w:val="000000"/>
                <w:kern w:val="0"/>
                <w:szCs w:val="21"/>
              </w:rPr>
              <w:t>光伏发电</w:t>
            </w:r>
          </w:p>
        </w:tc>
        <w:tc>
          <w:tcPr>
            <w:tcW w:w="831" w:type="pct"/>
            <w:shd w:val="clear" w:color="auto" w:fill="auto"/>
            <w:vAlign w:val="center"/>
          </w:tcPr>
          <w:p w14:paraId="20D3D6A5">
            <w:pPr>
              <w:jc w:val="center"/>
              <w:rPr>
                <w:rFonts w:ascii="宋体" w:hAnsi="宋体" w:cs="宋体"/>
                <w:color w:val="000000"/>
                <w:kern w:val="0"/>
                <w:szCs w:val="21"/>
              </w:rPr>
            </w:pPr>
            <w:r>
              <w:rPr>
                <w:rFonts w:ascii="宋体" w:hAnsi="宋体" w:cs="宋体"/>
                <w:color w:val="000000"/>
                <w:kern w:val="0"/>
                <w:szCs w:val="21"/>
              </w:rPr>
              <w:t>/</w:t>
            </w:r>
          </w:p>
        </w:tc>
        <w:tc>
          <w:tcPr>
            <w:tcW w:w="1580" w:type="pct"/>
            <w:shd w:val="clear" w:color="auto" w:fill="auto"/>
            <w:vAlign w:val="center"/>
          </w:tcPr>
          <w:p w14:paraId="3DC0A5B6">
            <w:pPr>
              <w:jc w:val="center"/>
              <w:rPr>
                <w:rFonts w:ascii="宋体" w:hAnsi="宋体" w:cs="宋体"/>
                <w:color w:val="000000"/>
                <w:kern w:val="0"/>
                <w:szCs w:val="21"/>
              </w:rPr>
            </w:pPr>
            <w:r>
              <w:rPr>
                <w:rFonts w:hint="eastAsia" w:ascii="宋体" w:hAnsi="宋体" w:cs="宋体"/>
                <w:color w:val="000000"/>
                <w:kern w:val="0"/>
                <w:szCs w:val="21"/>
              </w:rPr>
              <w:t>D4415太阳能发电</w:t>
            </w:r>
          </w:p>
        </w:tc>
        <w:tc>
          <w:tcPr>
            <w:tcW w:w="446" w:type="pct"/>
            <w:shd w:val="clear" w:color="auto" w:fill="auto"/>
            <w:vAlign w:val="center"/>
          </w:tcPr>
          <w:p w14:paraId="4E99027D">
            <w:pPr>
              <w:widowControl/>
              <w:jc w:val="center"/>
              <w:rPr>
                <w:rFonts w:ascii="宋体" w:hAnsi="宋体" w:cs="宋体"/>
                <w:color w:val="000000"/>
                <w:kern w:val="0"/>
                <w:szCs w:val="21"/>
              </w:rPr>
            </w:pPr>
            <w:r>
              <w:rPr>
                <w:rFonts w:hint="eastAsia" w:ascii="宋体" w:hAnsi="宋体" w:cs="宋体"/>
                <w:color w:val="000000"/>
                <w:kern w:val="0"/>
                <w:szCs w:val="21"/>
              </w:rPr>
              <w:t>新增</w:t>
            </w:r>
          </w:p>
        </w:tc>
      </w:tr>
      <w:tr w14:paraId="314A5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noWrap/>
            <w:vAlign w:val="center"/>
          </w:tcPr>
          <w:p w14:paraId="4055AC1F">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766" w:type="pct"/>
            <w:shd w:val="clear" w:color="auto" w:fill="auto"/>
          </w:tcPr>
          <w:p w14:paraId="57773D10">
            <w:pPr>
              <w:jc w:val="center"/>
            </w:pPr>
            <w:r>
              <w:rPr>
                <w:rFonts w:hint="eastAsia" w:ascii="宋体" w:hAnsi="宋体" w:cs="宋体"/>
                <w:color w:val="000000"/>
                <w:kern w:val="0"/>
                <w:szCs w:val="21"/>
              </w:rPr>
              <w:t>/</w:t>
            </w:r>
          </w:p>
        </w:tc>
        <w:tc>
          <w:tcPr>
            <w:tcW w:w="997" w:type="pct"/>
            <w:shd w:val="clear" w:color="auto" w:fill="auto"/>
            <w:vAlign w:val="center"/>
          </w:tcPr>
          <w:p w14:paraId="406EB9B4">
            <w:pPr>
              <w:widowControl/>
              <w:jc w:val="center"/>
              <w:rPr>
                <w:rFonts w:ascii="宋体" w:hAnsi="宋体" w:cs="宋体"/>
                <w:color w:val="000000"/>
                <w:kern w:val="0"/>
                <w:szCs w:val="21"/>
              </w:rPr>
            </w:pPr>
            <w:r>
              <w:rPr>
                <w:rFonts w:hint="eastAsia" w:ascii="宋体" w:hAnsi="宋体" w:cs="宋体"/>
                <w:color w:val="000000"/>
                <w:kern w:val="0"/>
                <w:szCs w:val="21"/>
              </w:rPr>
              <w:t>换热站</w:t>
            </w:r>
          </w:p>
        </w:tc>
        <w:tc>
          <w:tcPr>
            <w:tcW w:w="831" w:type="pct"/>
            <w:shd w:val="clear" w:color="auto" w:fill="auto"/>
          </w:tcPr>
          <w:p w14:paraId="08B68F4E">
            <w:pPr>
              <w:jc w:val="center"/>
            </w:pPr>
            <w:r>
              <w:rPr>
                <w:rFonts w:hint="eastAsia" w:ascii="宋体" w:hAnsi="宋体" w:cs="宋体"/>
                <w:color w:val="000000"/>
                <w:kern w:val="0"/>
                <w:szCs w:val="21"/>
              </w:rPr>
              <w:t>/</w:t>
            </w:r>
          </w:p>
        </w:tc>
        <w:tc>
          <w:tcPr>
            <w:tcW w:w="1580" w:type="pct"/>
            <w:shd w:val="clear" w:color="auto" w:fill="auto"/>
            <w:vAlign w:val="center"/>
          </w:tcPr>
          <w:p w14:paraId="51CC45F7">
            <w:pPr>
              <w:widowControl/>
              <w:jc w:val="center"/>
              <w:rPr>
                <w:rFonts w:ascii="宋体" w:hAnsi="宋体" w:cs="宋体"/>
                <w:color w:val="000000"/>
                <w:kern w:val="0"/>
                <w:szCs w:val="21"/>
              </w:rPr>
            </w:pPr>
            <w:r>
              <w:rPr>
                <w:rFonts w:ascii="宋体" w:hAnsi="宋体" w:cs="宋体"/>
                <w:color w:val="000000"/>
                <w:kern w:val="0"/>
                <w:szCs w:val="21"/>
              </w:rPr>
              <w:t>D4430</w:t>
            </w:r>
            <w:r>
              <w:rPr>
                <w:rFonts w:hint="eastAsia" w:ascii="宋体" w:hAnsi="宋体" w:cs="宋体"/>
                <w:color w:val="000000"/>
                <w:kern w:val="0"/>
                <w:szCs w:val="21"/>
              </w:rPr>
              <w:t>热力生产和供应</w:t>
            </w:r>
          </w:p>
        </w:tc>
        <w:tc>
          <w:tcPr>
            <w:tcW w:w="446" w:type="pct"/>
            <w:vAlign w:val="center"/>
          </w:tcPr>
          <w:p w14:paraId="214661E2">
            <w:pPr>
              <w:widowControl/>
              <w:jc w:val="center"/>
              <w:rPr>
                <w:rFonts w:ascii="宋体" w:hAnsi="宋体" w:cs="宋体"/>
                <w:color w:val="000000"/>
                <w:kern w:val="0"/>
                <w:szCs w:val="21"/>
              </w:rPr>
            </w:pPr>
            <w:r>
              <w:rPr>
                <w:rFonts w:hint="eastAsia" w:ascii="宋体" w:hAnsi="宋体" w:cs="宋体"/>
                <w:color w:val="000000"/>
                <w:kern w:val="0"/>
                <w:szCs w:val="21"/>
              </w:rPr>
              <w:t>新增</w:t>
            </w:r>
          </w:p>
        </w:tc>
      </w:tr>
    </w:tbl>
    <w:p w14:paraId="7A5F892C">
      <w:pPr>
        <w:pStyle w:val="47"/>
        <w:spacing w:line="360" w:lineRule="auto"/>
        <w:ind w:firstLine="0" w:firstLineChars="0"/>
        <w:jc w:val="left"/>
        <w:rPr>
          <w:rFonts w:ascii="Times New Roman" w:hAnsi="Times New Roman"/>
          <w:sz w:val="24"/>
        </w:rPr>
      </w:pPr>
    </w:p>
    <w:p w14:paraId="174F332B">
      <w:pPr>
        <w:pStyle w:val="47"/>
        <w:spacing w:line="360" w:lineRule="auto"/>
        <w:ind w:firstLine="480"/>
        <w:jc w:val="left"/>
        <w:rPr>
          <w:rFonts w:ascii="Times New Roman" w:hAnsi="Times New Roman"/>
          <w:sz w:val="24"/>
        </w:rPr>
      </w:pPr>
      <w:r>
        <w:rPr>
          <w:rFonts w:hint="eastAsia" w:ascii="Times New Roman" w:hAnsi="Times New Roman"/>
          <w:sz w:val="24"/>
        </w:rPr>
        <w:t>（2）用水定额修订</w:t>
      </w:r>
    </w:p>
    <w:p w14:paraId="0A789371">
      <w:pPr>
        <w:pStyle w:val="47"/>
        <w:spacing w:line="360" w:lineRule="auto"/>
        <w:ind w:firstLine="480"/>
        <w:jc w:val="left"/>
        <w:rPr>
          <w:rFonts w:ascii="Times New Roman" w:hAnsi="Times New Roman"/>
          <w:sz w:val="24"/>
        </w:rPr>
      </w:pPr>
      <w:r>
        <w:rPr>
          <w:rFonts w:hint="eastAsia" w:ascii="Times New Roman" w:hAnsi="Times New Roman"/>
          <w:sz w:val="24"/>
        </w:rPr>
        <w:t>对核力发电中核力发电企业的用水定额进行了修订。</w:t>
      </w:r>
    </w:p>
    <w:p w14:paraId="250A74FB">
      <w:pPr>
        <w:pStyle w:val="2"/>
        <w:keepNext/>
        <w:keepLines/>
        <w:pageBreakBefore w:val="0"/>
        <w:widowControl w:val="0"/>
        <w:numPr>
          <w:ilvl w:val="0"/>
          <w:numId w:val="2"/>
        </w:numPr>
        <w:kinsoku/>
        <w:wordWrap/>
        <w:overflowPunct/>
        <w:topLinePunct w:val="0"/>
        <w:autoSpaceDE/>
        <w:autoSpaceDN/>
        <w:bidi w:val="0"/>
        <w:adjustRightInd/>
        <w:snapToGrid/>
        <w:spacing w:before="0" w:after="0" w:line="240" w:lineRule="auto"/>
        <w:ind w:left="420" w:leftChars="0" w:hanging="420" w:firstLineChars="0"/>
        <w:textAlignment w:val="auto"/>
        <w:rPr>
          <w:rFonts w:hint="eastAsia" w:ascii="楷体_GB2312" w:hAnsi="楷体_GB2312" w:eastAsia="楷体_GB2312" w:cs="楷体_GB2312"/>
        </w:rPr>
      </w:pPr>
      <w:r>
        <w:rPr>
          <w:rFonts w:hint="eastAsia" w:ascii="楷体_GB2312" w:hAnsi="楷体_GB2312" w:eastAsia="楷体_GB2312" w:cs="楷体_GB2312"/>
        </w:rPr>
        <w:t xml:space="preserve"> E建筑业</w:t>
      </w:r>
    </w:p>
    <w:p w14:paraId="30379783">
      <w:pPr>
        <w:pStyle w:val="47"/>
        <w:spacing w:line="360" w:lineRule="auto"/>
        <w:ind w:firstLine="0" w:firstLineChars="0"/>
        <w:jc w:val="left"/>
        <w:rPr>
          <w:rFonts w:ascii="Times New Roman" w:hAnsi="Times New Roman"/>
          <w:sz w:val="24"/>
        </w:rPr>
      </w:pPr>
      <w:r>
        <w:rPr>
          <w:rFonts w:ascii="Times New Roman" w:hAnsi="Times New Roman"/>
          <w:sz w:val="24"/>
        </w:rPr>
        <w:t>（</w:t>
      </w:r>
      <w:r>
        <w:rPr>
          <w:rFonts w:hint="eastAsia" w:ascii="Times New Roman" w:hAnsi="Times New Roman"/>
          <w:sz w:val="24"/>
        </w:rPr>
        <w:t>1</w:t>
      </w:r>
      <w:r>
        <w:rPr>
          <w:rFonts w:ascii="Times New Roman" w:hAnsi="Times New Roman"/>
          <w:sz w:val="24"/>
        </w:rPr>
        <w:t>）</w:t>
      </w:r>
      <w:r>
        <w:rPr>
          <w:rFonts w:hint="eastAsia" w:ascii="Times New Roman" w:hAnsi="Times New Roman"/>
          <w:sz w:val="24"/>
        </w:rPr>
        <w:t>用水定额的</w:t>
      </w:r>
      <w:r>
        <w:rPr>
          <w:rFonts w:ascii="Times New Roman" w:hAnsi="Times New Roman"/>
          <w:sz w:val="24"/>
        </w:rPr>
        <w:t>变化</w:t>
      </w:r>
    </w:p>
    <w:p w14:paraId="08F7B19F">
      <w:pPr>
        <w:pStyle w:val="47"/>
        <w:spacing w:line="360" w:lineRule="auto"/>
        <w:ind w:firstLine="480"/>
        <w:jc w:val="left"/>
        <w:rPr>
          <w:rFonts w:ascii="Times New Roman" w:hAnsi="Times New Roman"/>
          <w:sz w:val="24"/>
        </w:rPr>
      </w:pPr>
      <w:bookmarkStart w:id="18" w:name="OLE_LINK18"/>
      <w:bookmarkStart w:id="19" w:name="OLE_LINK19"/>
      <w:r>
        <w:rPr>
          <w:rFonts w:hint="eastAsia" w:ascii="Times New Roman" w:hAnsi="Times New Roman"/>
          <w:sz w:val="24"/>
        </w:rPr>
        <w:t>对住宅房屋建筑</w:t>
      </w:r>
      <w:r>
        <w:rPr>
          <w:rFonts w:ascii="Times New Roman" w:hAnsi="Times New Roman"/>
          <w:sz w:val="24"/>
        </w:rPr>
        <w:t>（钢混</w:t>
      </w:r>
      <w:r>
        <w:rPr>
          <w:rFonts w:hint="eastAsia" w:ascii="Times New Roman" w:hAnsi="Times New Roman"/>
          <w:sz w:val="24"/>
        </w:rPr>
        <w:t>，商品混凝土</w:t>
      </w:r>
      <w:r>
        <w:rPr>
          <w:rFonts w:ascii="Times New Roman" w:hAnsi="Times New Roman"/>
          <w:sz w:val="24"/>
        </w:rPr>
        <w:t>）</w:t>
      </w:r>
      <w:r>
        <w:rPr>
          <w:rFonts w:hint="eastAsia" w:ascii="Times New Roman" w:hAnsi="Times New Roman"/>
          <w:sz w:val="24"/>
        </w:rPr>
        <w:t>的用水定额进行了修订；</w:t>
      </w:r>
    </w:p>
    <w:p w14:paraId="4B4ADED5">
      <w:pPr>
        <w:pStyle w:val="47"/>
        <w:spacing w:line="360" w:lineRule="auto"/>
        <w:ind w:firstLine="480"/>
        <w:jc w:val="left"/>
        <w:rPr>
          <w:rFonts w:ascii="Times New Roman" w:hAnsi="Times New Roman"/>
          <w:sz w:val="24"/>
        </w:rPr>
      </w:pPr>
      <w:r>
        <w:rPr>
          <w:rFonts w:hint="eastAsia" w:ascii="Times New Roman" w:hAnsi="Times New Roman"/>
          <w:sz w:val="24"/>
        </w:rPr>
        <w:t>新增体育场馆建筑（体育场、体育馆）2种产品的用水定额；</w:t>
      </w:r>
    </w:p>
    <w:p w14:paraId="3C69B91A">
      <w:pPr>
        <w:pStyle w:val="47"/>
        <w:spacing w:line="360" w:lineRule="auto"/>
        <w:ind w:firstLine="480"/>
        <w:jc w:val="left"/>
        <w:rPr>
          <w:rFonts w:ascii="Times New Roman" w:hAnsi="Times New Roman"/>
          <w:sz w:val="24"/>
        </w:rPr>
      </w:pPr>
      <w:r>
        <w:rPr>
          <w:rFonts w:hint="eastAsia" w:ascii="Times New Roman" w:hAnsi="Times New Roman"/>
          <w:sz w:val="24"/>
        </w:rPr>
        <w:t>对住宅装饰和装修（民用建筑）的用水定额进行了修订。</w:t>
      </w:r>
      <w:bookmarkEnd w:id="18"/>
      <w:bookmarkEnd w:id="19"/>
    </w:p>
    <w:p w14:paraId="56E6341F">
      <w:pPr>
        <w:pStyle w:val="7"/>
        <w:keepNext/>
        <w:rPr>
          <w:rFonts w:ascii="Times New Roman" w:hAnsi="Times New Roman"/>
          <w:sz w:val="21"/>
          <w:szCs w:val="21"/>
        </w:rPr>
      </w:pPr>
      <w:r>
        <w:rPr>
          <w:rFonts w:ascii="Times New Roman" w:hAnsi="Times New Roman"/>
          <w:sz w:val="21"/>
          <w:szCs w:val="21"/>
        </w:rPr>
        <w:t xml:space="preserve">表 </w:t>
      </w:r>
      <w:r>
        <w:rPr>
          <w:rFonts w:hint="eastAsia" w:ascii="Times New Roman" w:hAnsi="Times New Roman"/>
          <w:sz w:val="21"/>
          <w:szCs w:val="21"/>
        </w:rPr>
        <w:t>6</w:t>
      </w:r>
      <w:r>
        <w:rPr>
          <w:rFonts w:ascii="Times New Roman" w:hAnsi="Times New Roman"/>
          <w:sz w:val="21"/>
          <w:szCs w:val="21"/>
        </w:rPr>
        <w:t xml:space="preserve">           </w:t>
      </w:r>
      <w:r>
        <w:rPr>
          <w:rFonts w:hint="eastAsia" w:ascii="Times New Roman" w:hAnsi="Times New Roman"/>
          <w:sz w:val="21"/>
          <w:szCs w:val="21"/>
        </w:rPr>
        <w:t xml:space="preserve">         </w:t>
      </w:r>
      <w:r>
        <w:rPr>
          <w:rFonts w:ascii="Times New Roman" w:hAnsi="Times New Roman"/>
          <w:sz w:val="21"/>
          <w:szCs w:val="21"/>
        </w:rPr>
        <w:t xml:space="preserve"> </w:t>
      </w:r>
      <w:r>
        <w:rPr>
          <w:rFonts w:hint="eastAsia" w:ascii="Times New Roman" w:hAnsi="Times New Roman"/>
          <w:sz w:val="21"/>
          <w:szCs w:val="21"/>
        </w:rPr>
        <w:t>建筑业产品名称及归类明细表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308"/>
        <w:gridCol w:w="1702"/>
        <w:gridCol w:w="1419"/>
        <w:gridCol w:w="2695"/>
        <w:gridCol w:w="762"/>
      </w:tblGrid>
      <w:tr w14:paraId="2E5B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vMerge w:val="restart"/>
            <w:noWrap/>
            <w:vAlign w:val="center"/>
          </w:tcPr>
          <w:p w14:paraId="21D8E5F4">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765" w:type="pct"/>
            <w:gridSpan w:val="2"/>
            <w:noWrap/>
            <w:vAlign w:val="center"/>
          </w:tcPr>
          <w:p w14:paraId="10161E9A">
            <w:pPr>
              <w:widowControl/>
              <w:jc w:val="center"/>
              <w:rPr>
                <w:rFonts w:ascii="宋体" w:hAnsi="宋体" w:cs="宋体"/>
                <w:b/>
                <w:bCs/>
                <w:color w:val="000000"/>
                <w:kern w:val="0"/>
                <w:szCs w:val="21"/>
              </w:rPr>
            </w:pPr>
            <w:r>
              <w:rPr>
                <w:rFonts w:hint="eastAsia" w:ascii="宋体" w:hAnsi="宋体" w:cs="宋体"/>
                <w:b/>
                <w:bCs/>
                <w:color w:val="000000"/>
                <w:kern w:val="0"/>
                <w:szCs w:val="21"/>
              </w:rPr>
              <w:t>产品名称</w:t>
            </w:r>
          </w:p>
        </w:tc>
        <w:tc>
          <w:tcPr>
            <w:tcW w:w="2412" w:type="pct"/>
            <w:gridSpan w:val="2"/>
            <w:vAlign w:val="center"/>
          </w:tcPr>
          <w:p w14:paraId="42AB8D23">
            <w:pPr>
              <w:widowControl/>
              <w:jc w:val="center"/>
              <w:rPr>
                <w:rFonts w:ascii="宋体" w:hAnsi="宋体" w:cs="宋体"/>
                <w:b/>
                <w:bCs/>
                <w:color w:val="000000"/>
                <w:kern w:val="0"/>
                <w:szCs w:val="21"/>
              </w:rPr>
            </w:pPr>
            <w:r>
              <w:rPr>
                <w:rFonts w:hint="eastAsia" w:ascii="宋体" w:hAnsi="宋体" w:cs="宋体"/>
                <w:b/>
                <w:bCs/>
                <w:color w:val="000000"/>
                <w:kern w:val="0"/>
                <w:szCs w:val="21"/>
              </w:rPr>
              <w:t>行业分类</w:t>
            </w:r>
          </w:p>
        </w:tc>
        <w:tc>
          <w:tcPr>
            <w:tcW w:w="447" w:type="pct"/>
            <w:vMerge w:val="restart"/>
            <w:vAlign w:val="center"/>
          </w:tcPr>
          <w:p w14:paraId="703D5277">
            <w:pPr>
              <w:widowControl/>
              <w:jc w:val="center"/>
              <w:rPr>
                <w:rFonts w:ascii="宋体" w:hAnsi="宋体" w:cs="宋体"/>
                <w:b/>
                <w:bCs/>
                <w:color w:val="000000"/>
                <w:kern w:val="0"/>
                <w:szCs w:val="21"/>
              </w:rPr>
            </w:pPr>
            <w:r>
              <w:rPr>
                <w:rFonts w:hint="eastAsia" w:ascii="宋体" w:hAnsi="宋体" w:cs="宋体"/>
                <w:b/>
                <w:bCs/>
                <w:color w:val="000000"/>
                <w:kern w:val="0"/>
                <w:szCs w:val="21"/>
              </w:rPr>
              <w:t>备注</w:t>
            </w:r>
          </w:p>
        </w:tc>
      </w:tr>
      <w:tr w14:paraId="63123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vMerge w:val="continue"/>
            <w:vAlign w:val="center"/>
          </w:tcPr>
          <w:p w14:paraId="553330AE">
            <w:pPr>
              <w:widowControl/>
              <w:jc w:val="center"/>
              <w:rPr>
                <w:rFonts w:ascii="宋体" w:hAnsi="宋体" w:cs="宋体"/>
                <w:b/>
                <w:bCs/>
                <w:color w:val="000000"/>
                <w:kern w:val="0"/>
                <w:szCs w:val="21"/>
              </w:rPr>
            </w:pPr>
          </w:p>
        </w:tc>
        <w:tc>
          <w:tcPr>
            <w:tcW w:w="767" w:type="pct"/>
            <w:vAlign w:val="center"/>
          </w:tcPr>
          <w:p w14:paraId="01BB2D59">
            <w:pPr>
              <w:widowControl/>
              <w:jc w:val="center"/>
              <w:rPr>
                <w:rFonts w:ascii="宋体" w:hAnsi="宋体" w:cs="宋体"/>
                <w:b/>
                <w:bCs/>
                <w:color w:val="000000"/>
                <w:kern w:val="0"/>
                <w:szCs w:val="21"/>
              </w:rPr>
            </w:pPr>
            <w:r>
              <w:rPr>
                <w:rFonts w:hint="eastAsia" w:ascii="宋体" w:hAnsi="宋体" w:cs="宋体"/>
                <w:b/>
                <w:bCs/>
                <w:color w:val="000000"/>
                <w:kern w:val="0"/>
                <w:szCs w:val="21"/>
              </w:rPr>
              <w:t>修订前</w:t>
            </w:r>
          </w:p>
        </w:tc>
        <w:tc>
          <w:tcPr>
            <w:tcW w:w="998" w:type="pct"/>
            <w:vAlign w:val="center"/>
          </w:tcPr>
          <w:p w14:paraId="680F9754">
            <w:pPr>
              <w:widowControl/>
              <w:jc w:val="center"/>
              <w:rPr>
                <w:rFonts w:ascii="宋体" w:hAnsi="宋体" w:cs="宋体"/>
                <w:b/>
                <w:bCs/>
                <w:color w:val="000000"/>
                <w:kern w:val="0"/>
                <w:szCs w:val="21"/>
              </w:rPr>
            </w:pPr>
            <w:r>
              <w:rPr>
                <w:rFonts w:hint="eastAsia" w:ascii="宋体" w:hAnsi="宋体" w:cs="宋体"/>
                <w:b/>
                <w:bCs/>
                <w:color w:val="000000"/>
                <w:kern w:val="0"/>
                <w:szCs w:val="21"/>
              </w:rPr>
              <w:t>修订后</w:t>
            </w:r>
          </w:p>
        </w:tc>
        <w:tc>
          <w:tcPr>
            <w:tcW w:w="832" w:type="pct"/>
            <w:vAlign w:val="center"/>
          </w:tcPr>
          <w:p w14:paraId="02D5A4D2">
            <w:pPr>
              <w:widowControl/>
              <w:jc w:val="center"/>
              <w:rPr>
                <w:rFonts w:ascii="宋体" w:hAnsi="宋体" w:cs="宋体"/>
                <w:b/>
                <w:bCs/>
                <w:color w:val="000000"/>
                <w:kern w:val="0"/>
                <w:szCs w:val="21"/>
              </w:rPr>
            </w:pPr>
            <w:r>
              <w:rPr>
                <w:rFonts w:hint="eastAsia" w:ascii="宋体" w:hAnsi="宋体" w:cs="宋体"/>
                <w:b/>
                <w:bCs/>
                <w:color w:val="000000"/>
                <w:kern w:val="0"/>
                <w:szCs w:val="21"/>
              </w:rPr>
              <w:t>修订前</w:t>
            </w:r>
          </w:p>
        </w:tc>
        <w:tc>
          <w:tcPr>
            <w:tcW w:w="1580" w:type="pct"/>
            <w:vAlign w:val="center"/>
          </w:tcPr>
          <w:p w14:paraId="5E71D423">
            <w:pPr>
              <w:widowControl/>
              <w:jc w:val="center"/>
              <w:rPr>
                <w:rFonts w:ascii="宋体" w:hAnsi="宋体" w:cs="宋体"/>
                <w:b/>
                <w:bCs/>
                <w:color w:val="000000"/>
                <w:kern w:val="0"/>
                <w:szCs w:val="21"/>
              </w:rPr>
            </w:pPr>
            <w:r>
              <w:rPr>
                <w:rFonts w:hint="eastAsia" w:ascii="宋体" w:hAnsi="宋体" w:cs="宋体"/>
                <w:b/>
                <w:bCs/>
                <w:color w:val="000000"/>
                <w:kern w:val="0"/>
                <w:szCs w:val="21"/>
              </w:rPr>
              <w:t>修订后</w:t>
            </w:r>
          </w:p>
        </w:tc>
        <w:tc>
          <w:tcPr>
            <w:tcW w:w="447" w:type="pct"/>
            <w:vMerge w:val="continue"/>
            <w:vAlign w:val="center"/>
          </w:tcPr>
          <w:p w14:paraId="2071B1A8">
            <w:pPr>
              <w:widowControl/>
              <w:jc w:val="center"/>
              <w:rPr>
                <w:rFonts w:ascii="宋体" w:hAnsi="宋体" w:cs="宋体"/>
                <w:b/>
                <w:bCs/>
                <w:color w:val="000000"/>
                <w:kern w:val="0"/>
                <w:szCs w:val="21"/>
              </w:rPr>
            </w:pPr>
          </w:p>
        </w:tc>
      </w:tr>
      <w:tr w14:paraId="6676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noWrap/>
            <w:vAlign w:val="center"/>
          </w:tcPr>
          <w:p w14:paraId="3D57C0F4">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67" w:type="pct"/>
          </w:tcPr>
          <w:p w14:paraId="3B009366">
            <w:pPr>
              <w:jc w:val="center"/>
            </w:pPr>
            <w:r>
              <w:rPr>
                <w:rFonts w:hint="eastAsia" w:ascii="宋体" w:hAnsi="宋体" w:cs="宋体"/>
                <w:color w:val="000000"/>
                <w:kern w:val="0"/>
                <w:szCs w:val="21"/>
              </w:rPr>
              <w:t>/</w:t>
            </w:r>
          </w:p>
        </w:tc>
        <w:tc>
          <w:tcPr>
            <w:tcW w:w="998" w:type="pct"/>
            <w:vAlign w:val="center"/>
          </w:tcPr>
          <w:p w14:paraId="53FA82BF">
            <w:pPr>
              <w:widowControl/>
              <w:jc w:val="center"/>
              <w:rPr>
                <w:rFonts w:ascii="宋体" w:hAnsi="宋体" w:cs="宋体"/>
                <w:color w:val="000000"/>
                <w:kern w:val="0"/>
                <w:szCs w:val="21"/>
              </w:rPr>
            </w:pPr>
            <w:r>
              <w:rPr>
                <w:rFonts w:hint="eastAsia" w:ascii="宋体" w:hAnsi="宋体" w:cs="宋体"/>
                <w:color w:val="000000"/>
                <w:kern w:val="0"/>
                <w:szCs w:val="21"/>
              </w:rPr>
              <w:t>体育场</w:t>
            </w:r>
          </w:p>
        </w:tc>
        <w:tc>
          <w:tcPr>
            <w:tcW w:w="832" w:type="pct"/>
          </w:tcPr>
          <w:p w14:paraId="6E4D4998">
            <w:pPr>
              <w:jc w:val="center"/>
            </w:pPr>
            <w:r>
              <w:rPr>
                <w:rFonts w:hint="eastAsia" w:ascii="宋体" w:hAnsi="宋体" w:cs="宋体"/>
                <w:color w:val="000000"/>
                <w:kern w:val="0"/>
                <w:szCs w:val="21"/>
              </w:rPr>
              <w:t>/</w:t>
            </w:r>
          </w:p>
        </w:tc>
        <w:tc>
          <w:tcPr>
            <w:tcW w:w="1580" w:type="pct"/>
            <w:vAlign w:val="center"/>
          </w:tcPr>
          <w:p w14:paraId="2A2E3C12">
            <w:pPr>
              <w:widowControl/>
              <w:jc w:val="center"/>
              <w:rPr>
                <w:rFonts w:ascii="宋体" w:hAnsi="宋体" w:cs="宋体"/>
                <w:color w:val="000000"/>
                <w:kern w:val="0"/>
                <w:szCs w:val="21"/>
              </w:rPr>
            </w:pPr>
            <w:r>
              <w:rPr>
                <w:rFonts w:hint="eastAsia" w:ascii="宋体" w:hAnsi="宋体" w:cs="宋体"/>
                <w:color w:val="000000"/>
                <w:kern w:val="0"/>
                <w:szCs w:val="21"/>
              </w:rPr>
              <w:t>E4720体育场馆建筑</w:t>
            </w:r>
          </w:p>
        </w:tc>
        <w:tc>
          <w:tcPr>
            <w:tcW w:w="447" w:type="pct"/>
            <w:vAlign w:val="center"/>
          </w:tcPr>
          <w:p w14:paraId="4AA6336C">
            <w:pPr>
              <w:widowControl/>
              <w:jc w:val="center"/>
              <w:rPr>
                <w:rFonts w:ascii="宋体" w:hAnsi="宋体" w:cs="宋体"/>
                <w:color w:val="000000"/>
                <w:kern w:val="0"/>
                <w:szCs w:val="21"/>
              </w:rPr>
            </w:pPr>
            <w:r>
              <w:rPr>
                <w:rFonts w:hint="eastAsia" w:ascii="宋体" w:hAnsi="宋体" w:cs="宋体"/>
                <w:color w:val="000000"/>
                <w:kern w:val="0"/>
                <w:szCs w:val="21"/>
              </w:rPr>
              <w:t>新增</w:t>
            </w:r>
          </w:p>
        </w:tc>
      </w:tr>
      <w:tr w14:paraId="4CB66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noWrap/>
            <w:vAlign w:val="center"/>
          </w:tcPr>
          <w:p w14:paraId="627D6C1E">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308" w:type="dxa"/>
          </w:tcPr>
          <w:p w14:paraId="58853FFC">
            <w:pPr>
              <w:jc w:val="center"/>
              <w:rPr>
                <w:rFonts w:ascii="宋体" w:hAnsi="宋体" w:cs="宋体"/>
                <w:color w:val="000000"/>
                <w:kern w:val="0"/>
                <w:szCs w:val="21"/>
              </w:rPr>
            </w:pPr>
            <w:r>
              <w:rPr>
                <w:rFonts w:hint="eastAsia" w:ascii="宋体" w:hAnsi="宋体" w:cs="宋体"/>
                <w:color w:val="000000"/>
                <w:kern w:val="0"/>
                <w:szCs w:val="21"/>
              </w:rPr>
              <w:t>/</w:t>
            </w:r>
          </w:p>
        </w:tc>
        <w:tc>
          <w:tcPr>
            <w:tcW w:w="1702" w:type="dxa"/>
            <w:vAlign w:val="center"/>
          </w:tcPr>
          <w:p w14:paraId="579EF885">
            <w:pPr>
              <w:widowControl/>
              <w:jc w:val="center"/>
              <w:rPr>
                <w:rFonts w:ascii="宋体" w:hAnsi="宋体" w:cs="宋体"/>
                <w:color w:val="000000"/>
                <w:kern w:val="0"/>
                <w:szCs w:val="21"/>
              </w:rPr>
            </w:pPr>
            <w:r>
              <w:rPr>
                <w:rFonts w:hint="eastAsia" w:ascii="宋体" w:hAnsi="宋体" w:cs="宋体"/>
                <w:color w:val="000000"/>
                <w:kern w:val="0"/>
                <w:szCs w:val="21"/>
              </w:rPr>
              <w:t>体育馆</w:t>
            </w:r>
          </w:p>
        </w:tc>
        <w:tc>
          <w:tcPr>
            <w:tcW w:w="1419" w:type="dxa"/>
          </w:tcPr>
          <w:p w14:paraId="04EAE4A3">
            <w:pPr>
              <w:jc w:val="center"/>
              <w:rPr>
                <w:rFonts w:ascii="宋体" w:hAnsi="宋体" w:cs="宋体"/>
                <w:color w:val="000000"/>
                <w:kern w:val="0"/>
                <w:szCs w:val="21"/>
              </w:rPr>
            </w:pPr>
            <w:r>
              <w:rPr>
                <w:rFonts w:hint="eastAsia" w:ascii="宋体" w:hAnsi="宋体" w:cs="宋体"/>
                <w:color w:val="000000"/>
                <w:kern w:val="0"/>
                <w:szCs w:val="21"/>
              </w:rPr>
              <w:t>/</w:t>
            </w:r>
          </w:p>
        </w:tc>
        <w:tc>
          <w:tcPr>
            <w:tcW w:w="2695" w:type="dxa"/>
            <w:vAlign w:val="center"/>
          </w:tcPr>
          <w:p w14:paraId="6BFEB74D">
            <w:pPr>
              <w:widowControl/>
              <w:jc w:val="center"/>
              <w:rPr>
                <w:rFonts w:ascii="宋体" w:hAnsi="宋体" w:cs="宋体"/>
                <w:color w:val="000000"/>
                <w:kern w:val="0"/>
                <w:szCs w:val="21"/>
              </w:rPr>
            </w:pPr>
            <w:r>
              <w:rPr>
                <w:rFonts w:hint="eastAsia" w:ascii="宋体" w:hAnsi="宋体" w:cs="宋体"/>
                <w:color w:val="000000"/>
                <w:kern w:val="0"/>
                <w:szCs w:val="21"/>
              </w:rPr>
              <w:t>E4720体育场馆建筑</w:t>
            </w:r>
          </w:p>
        </w:tc>
        <w:tc>
          <w:tcPr>
            <w:tcW w:w="762" w:type="dxa"/>
            <w:vAlign w:val="center"/>
          </w:tcPr>
          <w:p w14:paraId="62B78892">
            <w:pPr>
              <w:widowControl/>
              <w:jc w:val="center"/>
              <w:rPr>
                <w:rFonts w:ascii="宋体" w:hAnsi="宋体" w:cs="宋体"/>
                <w:color w:val="000000"/>
                <w:kern w:val="0"/>
                <w:szCs w:val="21"/>
              </w:rPr>
            </w:pPr>
            <w:r>
              <w:rPr>
                <w:rFonts w:hint="eastAsia" w:ascii="宋体" w:hAnsi="宋体" w:cs="宋体"/>
                <w:color w:val="000000"/>
                <w:kern w:val="0"/>
                <w:szCs w:val="21"/>
              </w:rPr>
              <w:t>新增</w:t>
            </w:r>
          </w:p>
        </w:tc>
      </w:tr>
    </w:tbl>
    <w:p w14:paraId="241D24AD">
      <w:pPr>
        <w:pStyle w:val="47"/>
        <w:spacing w:line="360" w:lineRule="auto"/>
        <w:ind w:firstLine="480"/>
        <w:jc w:val="left"/>
        <w:rPr>
          <w:rFonts w:ascii="Times New Roman" w:hAnsi="Times New Roman"/>
          <w:sz w:val="24"/>
        </w:rPr>
      </w:pPr>
    </w:p>
    <w:p w14:paraId="5F995335">
      <w:pPr>
        <w:pStyle w:val="2"/>
        <w:keepNext/>
        <w:keepLines/>
        <w:pageBreakBefore w:val="0"/>
        <w:widowControl w:val="0"/>
        <w:numPr>
          <w:ilvl w:val="0"/>
          <w:numId w:val="2"/>
        </w:numPr>
        <w:kinsoku/>
        <w:wordWrap/>
        <w:overflowPunct/>
        <w:topLinePunct w:val="0"/>
        <w:autoSpaceDE/>
        <w:autoSpaceDN/>
        <w:bidi w:val="0"/>
        <w:adjustRightInd/>
        <w:snapToGrid/>
        <w:spacing w:before="0" w:after="0" w:line="240" w:lineRule="auto"/>
        <w:ind w:left="420" w:leftChars="0" w:hanging="420" w:firstLineChars="0"/>
        <w:textAlignment w:val="auto"/>
        <w:rPr>
          <w:rFonts w:hint="eastAsia" w:ascii="楷体_GB2312" w:hAnsi="楷体_GB2312" w:eastAsia="楷体_GB2312" w:cs="楷体_GB2312"/>
        </w:rPr>
      </w:pPr>
      <w:r>
        <w:rPr>
          <w:rFonts w:hint="eastAsia" w:ascii="楷体_GB2312" w:hAnsi="楷体_GB2312" w:eastAsia="楷体_GB2312" w:cs="楷体_GB2312"/>
        </w:rPr>
        <w:t xml:space="preserve"> F批发和零售业</w:t>
      </w:r>
    </w:p>
    <w:p w14:paraId="143FB2CA">
      <w:pPr>
        <w:pStyle w:val="47"/>
        <w:spacing w:line="360" w:lineRule="auto"/>
        <w:ind w:firstLine="0" w:firstLineChars="0"/>
        <w:jc w:val="left"/>
        <w:rPr>
          <w:rFonts w:ascii="Times New Roman" w:hAnsi="Times New Roman"/>
          <w:sz w:val="24"/>
        </w:rPr>
      </w:pPr>
      <w:r>
        <w:rPr>
          <w:rFonts w:ascii="Times New Roman" w:hAnsi="Times New Roman"/>
          <w:sz w:val="24"/>
        </w:rPr>
        <w:t>（</w:t>
      </w:r>
      <w:r>
        <w:rPr>
          <w:rFonts w:hint="eastAsia" w:ascii="Times New Roman" w:hAnsi="Times New Roman"/>
          <w:sz w:val="24"/>
        </w:rPr>
        <w:t>1</w:t>
      </w:r>
      <w:r>
        <w:rPr>
          <w:rFonts w:ascii="Times New Roman" w:hAnsi="Times New Roman"/>
          <w:sz w:val="24"/>
        </w:rPr>
        <w:t>）</w:t>
      </w:r>
      <w:r>
        <w:rPr>
          <w:rFonts w:hint="eastAsia" w:ascii="Times New Roman" w:hAnsi="Times New Roman"/>
          <w:sz w:val="24"/>
        </w:rPr>
        <w:t>用水定额的</w:t>
      </w:r>
      <w:r>
        <w:rPr>
          <w:rFonts w:ascii="Times New Roman" w:hAnsi="Times New Roman"/>
          <w:sz w:val="24"/>
        </w:rPr>
        <w:t>变化</w:t>
      </w:r>
    </w:p>
    <w:p w14:paraId="2F351650">
      <w:pPr>
        <w:pStyle w:val="47"/>
        <w:spacing w:line="360" w:lineRule="auto"/>
        <w:ind w:firstLine="480"/>
        <w:jc w:val="left"/>
        <w:rPr>
          <w:rFonts w:ascii="Times New Roman" w:hAnsi="Times New Roman"/>
          <w:sz w:val="24"/>
        </w:rPr>
      </w:pPr>
      <w:r>
        <w:rPr>
          <w:rFonts w:hint="eastAsia" w:ascii="Times New Roman" w:hAnsi="Times New Roman"/>
          <w:sz w:val="24"/>
        </w:rPr>
        <w:t>对百货零售（百货店、大型超市）的用水定额进行了修订。</w:t>
      </w:r>
    </w:p>
    <w:p w14:paraId="0D86FC17">
      <w:pPr>
        <w:pStyle w:val="2"/>
        <w:keepNext/>
        <w:keepLines/>
        <w:pageBreakBefore w:val="0"/>
        <w:widowControl w:val="0"/>
        <w:numPr>
          <w:ilvl w:val="0"/>
          <w:numId w:val="2"/>
        </w:numPr>
        <w:kinsoku/>
        <w:wordWrap/>
        <w:overflowPunct/>
        <w:topLinePunct w:val="0"/>
        <w:autoSpaceDE/>
        <w:autoSpaceDN/>
        <w:bidi w:val="0"/>
        <w:adjustRightInd/>
        <w:snapToGrid/>
        <w:spacing w:before="0" w:after="0" w:line="240" w:lineRule="auto"/>
        <w:ind w:left="420" w:leftChars="0" w:hanging="420" w:firstLineChars="0"/>
        <w:textAlignment w:val="auto"/>
        <w:rPr>
          <w:rFonts w:hint="eastAsia" w:ascii="楷体_GB2312" w:hAnsi="楷体_GB2312" w:eastAsia="楷体_GB2312" w:cs="楷体_GB2312"/>
        </w:rPr>
      </w:pPr>
      <w:r>
        <w:rPr>
          <w:rFonts w:hint="eastAsia" w:ascii="楷体_GB2312" w:hAnsi="楷体_GB2312" w:eastAsia="楷体_GB2312" w:cs="楷体_GB2312"/>
        </w:rPr>
        <w:t xml:space="preserve"> G交通运输、仓储和邮政业 </w:t>
      </w:r>
    </w:p>
    <w:p w14:paraId="1AF49DB4">
      <w:pPr>
        <w:pStyle w:val="47"/>
        <w:spacing w:line="360" w:lineRule="auto"/>
        <w:ind w:left="823" w:hanging="823" w:hangingChars="343"/>
        <w:jc w:val="left"/>
      </w:pPr>
      <w:r>
        <w:rPr>
          <w:rFonts w:hint="eastAsia" w:ascii="Times New Roman" w:hAnsi="Times New Roman"/>
          <w:sz w:val="24"/>
        </w:rPr>
        <w:t>（1）产品名称及</w:t>
      </w:r>
      <w:r>
        <w:rPr>
          <w:rFonts w:ascii="Times New Roman" w:hAnsi="Times New Roman"/>
          <w:sz w:val="24"/>
        </w:rPr>
        <w:t>归类变化</w:t>
      </w:r>
    </w:p>
    <w:p w14:paraId="13BF4E2B">
      <w:pPr>
        <w:pStyle w:val="47"/>
        <w:spacing w:line="360" w:lineRule="auto"/>
        <w:ind w:firstLine="480"/>
        <w:jc w:val="left"/>
        <w:rPr>
          <w:rFonts w:ascii="Times New Roman" w:hAnsi="Times New Roman"/>
          <w:sz w:val="24"/>
        </w:rPr>
      </w:pPr>
      <w:r>
        <w:rPr>
          <w:rFonts w:hint="eastAsia" w:ascii="Times New Roman" w:hAnsi="Times New Roman"/>
          <w:sz w:val="24"/>
        </w:rPr>
        <w:t>本次交通运输、仓储和邮政业新增了</w:t>
      </w:r>
      <w:r>
        <w:rPr>
          <w:rFonts w:ascii="Times New Roman" w:hAnsi="Times New Roman"/>
          <w:sz w:val="24"/>
        </w:rPr>
        <w:t>5</w:t>
      </w:r>
      <w:r>
        <w:rPr>
          <w:rFonts w:hint="eastAsia" w:ascii="Times New Roman" w:hAnsi="Times New Roman"/>
          <w:sz w:val="24"/>
        </w:rPr>
        <w:t>种产品。</w:t>
      </w:r>
    </w:p>
    <w:p w14:paraId="13668E43">
      <w:pPr>
        <w:pStyle w:val="7"/>
        <w:keepNext/>
        <w:rPr>
          <w:rFonts w:ascii="Times New Roman" w:hAnsi="Times New Roman"/>
          <w:sz w:val="21"/>
          <w:szCs w:val="21"/>
        </w:rPr>
      </w:pPr>
      <w:r>
        <w:rPr>
          <w:rFonts w:ascii="Times New Roman" w:hAnsi="Times New Roman"/>
          <w:sz w:val="21"/>
          <w:szCs w:val="21"/>
        </w:rPr>
        <w:t xml:space="preserve">表 </w:t>
      </w:r>
      <w:r>
        <w:rPr>
          <w:rFonts w:hint="eastAsia" w:ascii="Times New Roman" w:hAnsi="Times New Roman"/>
          <w:sz w:val="21"/>
          <w:szCs w:val="21"/>
          <w:lang w:val="en-US" w:eastAsia="zh-CN"/>
        </w:rPr>
        <w:t>7</w:t>
      </w:r>
      <w:r>
        <w:rPr>
          <w:rFonts w:ascii="Times New Roman" w:hAnsi="Times New Roman"/>
          <w:sz w:val="21"/>
          <w:szCs w:val="21"/>
        </w:rPr>
        <w:t xml:space="preserve">                  </w:t>
      </w:r>
      <w:r>
        <w:rPr>
          <w:rFonts w:hint="eastAsia" w:ascii="Times New Roman" w:hAnsi="Times New Roman"/>
          <w:sz w:val="21"/>
          <w:szCs w:val="21"/>
        </w:rPr>
        <w:t>交通运输、仓储和邮政业产品名称及归类明细表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308"/>
        <w:gridCol w:w="1702"/>
        <w:gridCol w:w="1419"/>
        <w:gridCol w:w="2695"/>
        <w:gridCol w:w="762"/>
      </w:tblGrid>
      <w:tr w14:paraId="0454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vMerge w:val="restart"/>
            <w:noWrap/>
            <w:vAlign w:val="center"/>
          </w:tcPr>
          <w:p w14:paraId="29A294EA">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765" w:type="pct"/>
            <w:gridSpan w:val="2"/>
            <w:noWrap/>
            <w:vAlign w:val="center"/>
          </w:tcPr>
          <w:p w14:paraId="084A98EB">
            <w:pPr>
              <w:widowControl/>
              <w:jc w:val="center"/>
              <w:rPr>
                <w:rFonts w:ascii="宋体" w:hAnsi="宋体" w:cs="宋体"/>
                <w:b/>
                <w:bCs/>
                <w:color w:val="000000"/>
                <w:kern w:val="0"/>
                <w:szCs w:val="21"/>
              </w:rPr>
            </w:pPr>
            <w:r>
              <w:rPr>
                <w:rFonts w:hint="eastAsia" w:ascii="宋体" w:hAnsi="宋体" w:cs="宋体"/>
                <w:b/>
                <w:bCs/>
                <w:color w:val="000000"/>
                <w:kern w:val="0"/>
                <w:szCs w:val="21"/>
              </w:rPr>
              <w:t>产品名称</w:t>
            </w:r>
          </w:p>
        </w:tc>
        <w:tc>
          <w:tcPr>
            <w:tcW w:w="2412" w:type="pct"/>
            <w:gridSpan w:val="2"/>
            <w:vAlign w:val="center"/>
          </w:tcPr>
          <w:p w14:paraId="5C81EBFF">
            <w:pPr>
              <w:widowControl/>
              <w:jc w:val="center"/>
              <w:rPr>
                <w:rFonts w:ascii="宋体" w:hAnsi="宋体" w:cs="宋体"/>
                <w:b/>
                <w:bCs/>
                <w:color w:val="000000"/>
                <w:kern w:val="0"/>
                <w:szCs w:val="21"/>
              </w:rPr>
            </w:pPr>
            <w:r>
              <w:rPr>
                <w:rFonts w:hint="eastAsia" w:ascii="宋体" w:hAnsi="宋体" w:cs="宋体"/>
                <w:b/>
                <w:bCs/>
                <w:color w:val="000000"/>
                <w:kern w:val="0"/>
                <w:szCs w:val="21"/>
              </w:rPr>
              <w:t>行业分类</w:t>
            </w:r>
          </w:p>
        </w:tc>
        <w:tc>
          <w:tcPr>
            <w:tcW w:w="447" w:type="pct"/>
            <w:vMerge w:val="restart"/>
            <w:vAlign w:val="center"/>
          </w:tcPr>
          <w:p w14:paraId="2188190E">
            <w:pPr>
              <w:widowControl/>
              <w:jc w:val="center"/>
              <w:rPr>
                <w:rFonts w:ascii="宋体" w:hAnsi="宋体" w:cs="宋体"/>
                <w:b/>
                <w:bCs/>
                <w:color w:val="000000"/>
                <w:kern w:val="0"/>
                <w:szCs w:val="21"/>
              </w:rPr>
            </w:pPr>
            <w:r>
              <w:rPr>
                <w:rFonts w:hint="eastAsia" w:ascii="宋体" w:hAnsi="宋体" w:cs="宋体"/>
                <w:b/>
                <w:bCs/>
                <w:color w:val="000000"/>
                <w:kern w:val="0"/>
                <w:szCs w:val="21"/>
              </w:rPr>
              <w:t>备注</w:t>
            </w:r>
          </w:p>
        </w:tc>
      </w:tr>
      <w:tr w14:paraId="2098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vMerge w:val="continue"/>
            <w:vAlign w:val="center"/>
          </w:tcPr>
          <w:p w14:paraId="6F49A706">
            <w:pPr>
              <w:widowControl/>
              <w:jc w:val="center"/>
              <w:rPr>
                <w:rFonts w:ascii="宋体" w:hAnsi="宋体" w:cs="宋体"/>
                <w:b/>
                <w:bCs/>
                <w:color w:val="000000"/>
                <w:kern w:val="0"/>
                <w:szCs w:val="21"/>
              </w:rPr>
            </w:pPr>
          </w:p>
        </w:tc>
        <w:tc>
          <w:tcPr>
            <w:tcW w:w="767" w:type="pct"/>
            <w:vAlign w:val="center"/>
          </w:tcPr>
          <w:p w14:paraId="40B1A188">
            <w:pPr>
              <w:widowControl/>
              <w:jc w:val="center"/>
              <w:rPr>
                <w:rFonts w:ascii="宋体" w:hAnsi="宋体" w:cs="宋体"/>
                <w:b/>
                <w:bCs/>
                <w:color w:val="000000"/>
                <w:kern w:val="0"/>
                <w:szCs w:val="21"/>
              </w:rPr>
            </w:pPr>
            <w:r>
              <w:rPr>
                <w:rFonts w:hint="eastAsia" w:ascii="宋体" w:hAnsi="宋体" w:cs="宋体"/>
                <w:b/>
                <w:bCs/>
                <w:color w:val="000000"/>
                <w:kern w:val="0"/>
                <w:szCs w:val="21"/>
              </w:rPr>
              <w:t>修订前</w:t>
            </w:r>
          </w:p>
        </w:tc>
        <w:tc>
          <w:tcPr>
            <w:tcW w:w="998" w:type="pct"/>
            <w:vAlign w:val="center"/>
          </w:tcPr>
          <w:p w14:paraId="2669151B">
            <w:pPr>
              <w:widowControl/>
              <w:jc w:val="center"/>
              <w:rPr>
                <w:rFonts w:ascii="宋体" w:hAnsi="宋体" w:cs="宋体"/>
                <w:b/>
                <w:bCs/>
                <w:color w:val="000000"/>
                <w:kern w:val="0"/>
                <w:szCs w:val="21"/>
              </w:rPr>
            </w:pPr>
            <w:r>
              <w:rPr>
                <w:rFonts w:hint="eastAsia" w:ascii="宋体" w:hAnsi="宋体" w:cs="宋体"/>
                <w:b/>
                <w:bCs/>
                <w:color w:val="000000"/>
                <w:kern w:val="0"/>
                <w:szCs w:val="21"/>
              </w:rPr>
              <w:t>修订后</w:t>
            </w:r>
          </w:p>
        </w:tc>
        <w:tc>
          <w:tcPr>
            <w:tcW w:w="832" w:type="pct"/>
            <w:vAlign w:val="center"/>
          </w:tcPr>
          <w:p w14:paraId="37233C64">
            <w:pPr>
              <w:widowControl/>
              <w:jc w:val="center"/>
              <w:rPr>
                <w:rFonts w:ascii="宋体" w:hAnsi="宋体" w:cs="宋体"/>
                <w:b/>
                <w:bCs/>
                <w:color w:val="000000"/>
                <w:kern w:val="0"/>
                <w:szCs w:val="21"/>
              </w:rPr>
            </w:pPr>
            <w:r>
              <w:rPr>
                <w:rFonts w:hint="eastAsia" w:ascii="宋体" w:hAnsi="宋体" w:cs="宋体"/>
                <w:b/>
                <w:bCs/>
                <w:color w:val="000000"/>
                <w:kern w:val="0"/>
                <w:szCs w:val="21"/>
              </w:rPr>
              <w:t>修订前</w:t>
            </w:r>
          </w:p>
        </w:tc>
        <w:tc>
          <w:tcPr>
            <w:tcW w:w="1580" w:type="pct"/>
            <w:vAlign w:val="center"/>
          </w:tcPr>
          <w:p w14:paraId="3E8D056F">
            <w:pPr>
              <w:widowControl/>
              <w:jc w:val="center"/>
              <w:rPr>
                <w:rFonts w:ascii="宋体" w:hAnsi="宋体" w:cs="宋体"/>
                <w:b/>
                <w:bCs/>
                <w:color w:val="000000"/>
                <w:kern w:val="0"/>
                <w:szCs w:val="21"/>
              </w:rPr>
            </w:pPr>
            <w:r>
              <w:rPr>
                <w:rFonts w:hint="eastAsia" w:ascii="宋体" w:hAnsi="宋体" w:cs="宋体"/>
                <w:b/>
                <w:bCs/>
                <w:color w:val="000000"/>
                <w:kern w:val="0"/>
                <w:szCs w:val="21"/>
              </w:rPr>
              <w:t>修订后</w:t>
            </w:r>
          </w:p>
        </w:tc>
        <w:tc>
          <w:tcPr>
            <w:tcW w:w="447" w:type="pct"/>
            <w:vMerge w:val="continue"/>
            <w:vAlign w:val="center"/>
          </w:tcPr>
          <w:p w14:paraId="755C8985">
            <w:pPr>
              <w:widowControl/>
              <w:jc w:val="center"/>
              <w:rPr>
                <w:rFonts w:ascii="宋体" w:hAnsi="宋体" w:cs="宋体"/>
                <w:b/>
                <w:bCs/>
                <w:color w:val="000000"/>
                <w:kern w:val="0"/>
                <w:szCs w:val="21"/>
              </w:rPr>
            </w:pPr>
          </w:p>
        </w:tc>
      </w:tr>
      <w:tr w14:paraId="1BEA2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noWrap/>
            <w:vAlign w:val="center"/>
          </w:tcPr>
          <w:p w14:paraId="6BBB6D31">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67" w:type="pct"/>
          </w:tcPr>
          <w:p w14:paraId="637CF77B">
            <w:pPr>
              <w:jc w:val="center"/>
            </w:pPr>
            <w:r>
              <w:rPr>
                <w:rFonts w:hint="eastAsia" w:ascii="宋体" w:hAnsi="宋体" w:cs="宋体"/>
                <w:color w:val="000000"/>
                <w:kern w:val="0"/>
                <w:szCs w:val="21"/>
              </w:rPr>
              <w:t>/</w:t>
            </w:r>
          </w:p>
        </w:tc>
        <w:tc>
          <w:tcPr>
            <w:tcW w:w="998" w:type="pct"/>
            <w:vAlign w:val="center"/>
          </w:tcPr>
          <w:p w14:paraId="7357044F">
            <w:pPr>
              <w:widowControl/>
              <w:jc w:val="center"/>
              <w:rPr>
                <w:rFonts w:ascii="宋体" w:hAnsi="宋体" w:cs="宋体"/>
                <w:color w:val="000000"/>
                <w:kern w:val="0"/>
                <w:szCs w:val="21"/>
              </w:rPr>
            </w:pPr>
            <w:r>
              <w:rPr>
                <w:rFonts w:hint="eastAsia" w:ascii="宋体" w:hAnsi="宋体" w:cs="宋体"/>
                <w:color w:val="000000"/>
                <w:kern w:val="0"/>
                <w:szCs w:val="21"/>
              </w:rPr>
              <w:t>客运汽车站</w:t>
            </w:r>
          </w:p>
        </w:tc>
        <w:tc>
          <w:tcPr>
            <w:tcW w:w="832" w:type="pct"/>
          </w:tcPr>
          <w:p w14:paraId="668E7919">
            <w:pPr>
              <w:jc w:val="center"/>
            </w:pPr>
            <w:r>
              <w:rPr>
                <w:rFonts w:hint="eastAsia" w:ascii="宋体" w:hAnsi="宋体" w:cs="宋体"/>
                <w:color w:val="000000"/>
                <w:kern w:val="0"/>
                <w:szCs w:val="21"/>
              </w:rPr>
              <w:t>/</w:t>
            </w:r>
          </w:p>
        </w:tc>
        <w:tc>
          <w:tcPr>
            <w:tcW w:w="1580" w:type="pct"/>
            <w:vAlign w:val="center"/>
          </w:tcPr>
          <w:p w14:paraId="37FF214C">
            <w:pPr>
              <w:widowControl/>
              <w:jc w:val="center"/>
              <w:rPr>
                <w:rFonts w:ascii="宋体" w:hAnsi="宋体" w:cs="宋体"/>
                <w:color w:val="000000"/>
                <w:kern w:val="0"/>
                <w:szCs w:val="21"/>
              </w:rPr>
            </w:pPr>
            <w:r>
              <w:rPr>
                <w:rFonts w:ascii="宋体" w:hAnsi="宋体" w:cs="宋体"/>
                <w:color w:val="000000"/>
                <w:kern w:val="0"/>
                <w:szCs w:val="21"/>
              </w:rPr>
              <w:t>G5441</w:t>
            </w:r>
            <w:r>
              <w:rPr>
                <w:rFonts w:hint="eastAsia" w:ascii="宋体" w:hAnsi="宋体" w:cs="宋体"/>
                <w:color w:val="000000"/>
                <w:kern w:val="0"/>
                <w:szCs w:val="21"/>
              </w:rPr>
              <w:t>客运汽车站</w:t>
            </w:r>
          </w:p>
        </w:tc>
        <w:tc>
          <w:tcPr>
            <w:tcW w:w="447" w:type="pct"/>
            <w:vAlign w:val="center"/>
          </w:tcPr>
          <w:p w14:paraId="6DDD1F69">
            <w:pPr>
              <w:widowControl/>
              <w:jc w:val="center"/>
              <w:rPr>
                <w:rFonts w:ascii="宋体" w:hAnsi="宋体" w:cs="宋体"/>
                <w:color w:val="000000"/>
                <w:kern w:val="0"/>
                <w:szCs w:val="21"/>
              </w:rPr>
            </w:pPr>
            <w:r>
              <w:rPr>
                <w:rFonts w:hint="eastAsia" w:ascii="宋体" w:hAnsi="宋体" w:cs="宋体"/>
                <w:color w:val="000000"/>
                <w:kern w:val="0"/>
                <w:szCs w:val="21"/>
              </w:rPr>
              <w:t>新增</w:t>
            </w:r>
          </w:p>
        </w:tc>
      </w:tr>
      <w:tr w14:paraId="49CF8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noWrap/>
            <w:vAlign w:val="center"/>
          </w:tcPr>
          <w:p w14:paraId="57BD0CE6">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767" w:type="pct"/>
          </w:tcPr>
          <w:p w14:paraId="244A4C5D">
            <w:pPr>
              <w:jc w:val="center"/>
            </w:pPr>
            <w:r>
              <w:rPr>
                <w:rFonts w:hint="eastAsia" w:ascii="宋体" w:hAnsi="宋体" w:cs="宋体"/>
                <w:color w:val="000000"/>
                <w:kern w:val="0"/>
                <w:szCs w:val="21"/>
              </w:rPr>
              <w:t>/</w:t>
            </w:r>
          </w:p>
        </w:tc>
        <w:tc>
          <w:tcPr>
            <w:tcW w:w="998" w:type="pct"/>
            <w:vAlign w:val="center"/>
          </w:tcPr>
          <w:p w14:paraId="6672DBDD">
            <w:pPr>
              <w:widowControl/>
              <w:jc w:val="center"/>
              <w:rPr>
                <w:rFonts w:ascii="宋体" w:hAnsi="宋体" w:cs="宋体"/>
                <w:color w:val="000000"/>
                <w:kern w:val="0"/>
                <w:szCs w:val="21"/>
              </w:rPr>
            </w:pPr>
            <w:r>
              <w:rPr>
                <w:rFonts w:hint="eastAsia" w:ascii="宋体" w:hAnsi="宋体" w:cs="宋体"/>
                <w:color w:val="000000"/>
                <w:kern w:val="0"/>
                <w:szCs w:val="21"/>
              </w:rPr>
              <w:t>货运枢纽（站）</w:t>
            </w:r>
          </w:p>
        </w:tc>
        <w:tc>
          <w:tcPr>
            <w:tcW w:w="832" w:type="pct"/>
          </w:tcPr>
          <w:p w14:paraId="04FA3E33">
            <w:pPr>
              <w:jc w:val="center"/>
            </w:pPr>
            <w:r>
              <w:rPr>
                <w:rFonts w:hint="eastAsia" w:ascii="宋体" w:hAnsi="宋体" w:cs="宋体"/>
                <w:color w:val="000000"/>
                <w:kern w:val="0"/>
                <w:szCs w:val="21"/>
              </w:rPr>
              <w:t>/</w:t>
            </w:r>
          </w:p>
        </w:tc>
        <w:tc>
          <w:tcPr>
            <w:tcW w:w="1580" w:type="pct"/>
            <w:vAlign w:val="center"/>
          </w:tcPr>
          <w:p w14:paraId="148EABC8">
            <w:pPr>
              <w:jc w:val="center"/>
            </w:pPr>
            <w:r>
              <w:rPr>
                <w:rFonts w:ascii="宋体" w:hAnsi="宋体" w:cs="宋体"/>
                <w:color w:val="000000"/>
                <w:kern w:val="0"/>
                <w:szCs w:val="21"/>
              </w:rPr>
              <w:t>G5442</w:t>
            </w:r>
            <w:r>
              <w:rPr>
                <w:rFonts w:hint="eastAsia" w:ascii="宋体" w:hAnsi="宋体" w:cs="宋体"/>
                <w:color w:val="000000"/>
                <w:kern w:val="0"/>
                <w:szCs w:val="21"/>
              </w:rPr>
              <w:t>货运枢纽（站）</w:t>
            </w:r>
          </w:p>
        </w:tc>
        <w:tc>
          <w:tcPr>
            <w:tcW w:w="447" w:type="pct"/>
            <w:vAlign w:val="center"/>
          </w:tcPr>
          <w:p w14:paraId="2571B00B">
            <w:pPr>
              <w:widowControl/>
              <w:jc w:val="center"/>
              <w:rPr>
                <w:rFonts w:ascii="宋体" w:hAnsi="宋体" w:cs="宋体"/>
                <w:color w:val="000000"/>
                <w:kern w:val="0"/>
                <w:szCs w:val="21"/>
              </w:rPr>
            </w:pPr>
            <w:r>
              <w:rPr>
                <w:rFonts w:hint="eastAsia" w:ascii="宋体" w:hAnsi="宋体" w:cs="宋体"/>
                <w:color w:val="000000"/>
                <w:kern w:val="0"/>
                <w:szCs w:val="21"/>
              </w:rPr>
              <w:t>新增</w:t>
            </w:r>
          </w:p>
        </w:tc>
      </w:tr>
      <w:tr w14:paraId="3A374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noWrap/>
            <w:vAlign w:val="center"/>
          </w:tcPr>
          <w:p w14:paraId="70EF9CBC">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767" w:type="pct"/>
          </w:tcPr>
          <w:p w14:paraId="0B43471A">
            <w:pPr>
              <w:jc w:val="center"/>
            </w:pPr>
            <w:r>
              <w:rPr>
                <w:rFonts w:hint="eastAsia" w:ascii="宋体" w:hAnsi="宋体" w:cs="宋体"/>
                <w:color w:val="000000"/>
                <w:kern w:val="0"/>
                <w:szCs w:val="21"/>
              </w:rPr>
              <w:t>/</w:t>
            </w:r>
          </w:p>
        </w:tc>
        <w:tc>
          <w:tcPr>
            <w:tcW w:w="998" w:type="pct"/>
            <w:vAlign w:val="center"/>
          </w:tcPr>
          <w:p w14:paraId="601D6E57">
            <w:pPr>
              <w:widowControl/>
              <w:jc w:val="center"/>
              <w:rPr>
                <w:rFonts w:ascii="宋体" w:hAnsi="宋体" w:cs="宋体"/>
                <w:color w:val="000000"/>
                <w:kern w:val="0"/>
                <w:szCs w:val="21"/>
              </w:rPr>
            </w:pPr>
            <w:r>
              <w:rPr>
                <w:rFonts w:hint="eastAsia" w:ascii="宋体" w:hAnsi="宋体" w:cs="宋体"/>
                <w:color w:val="000000"/>
                <w:kern w:val="0"/>
                <w:szCs w:val="21"/>
              </w:rPr>
              <w:t>高速公路服务区</w:t>
            </w:r>
          </w:p>
        </w:tc>
        <w:tc>
          <w:tcPr>
            <w:tcW w:w="832" w:type="pct"/>
          </w:tcPr>
          <w:p w14:paraId="689C152A">
            <w:pPr>
              <w:jc w:val="center"/>
            </w:pPr>
            <w:r>
              <w:rPr>
                <w:rFonts w:hint="eastAsia" w:ascii="宋体" w:hAnsi="宋体" w:cs="宋体"/>
                <w:color w:val="000000"/>
                <w:kern w:val="0"/>
                <w:szCs w:val="21"/>
              </w:rPr>
              <w:t>/</w:t>
            </w:r>
          </w:p>
        </w:tc>
        <w:tc>
          <w:tcPr>
            <w:tcW w:w="1580" w:type="pct"/>
            <w:vAlign w:val="center"/>
          </w:tcPr>
          <w:p w14:paraId="29461745">
            <w:pPr>
              <w:jc w:val="center"/>
            </w:pPr>
            <w:r>
              <w:rPr>
                <w:rFonts w:ascii="宋体" w:hAnsi="宋体" w:cs="宋体"/>
                <w:color w:val="000000"/>
                <w:kern w:val="0"/>
                <w:szCs w:val="21"/>
              </w:rPr>
              <w:t>G5449其他</w:t>
            </w:r>
            <w:r>
              <w:rPr>
                <w:rFonts w:hint="eastAsia" w:ascii="宋体" w:hAnsi="宋体" w:cs="宋体"/>
                <w:color w:val="000000"/>
                <w:kern w:val="0"/>
                <w:szCs w:val="21"/>
              </w:rPr>
              <w:t>道路运输辅助活动</w:t>
            </w:r>
          </w:p>
        </w:tc>
        <w:tc>
          <w:tcPr>
            <w:tcW w:w="447" w:type="pct"/>
            <w:vAlign w:val="center"/>
          </w:tcPr>
          <w:p w14:paraId="197E0C8B">
            <w:pPr>
              <w:widowControl/>
              <w:jc w:val="center"/>
              <w:rPr>
                <w:rFonts w:ascii="宋体" w:hAnsi="宋体" w:cs="宋体"/>
                <w:color w:val="000000"/>
                <w:kern w:val="0"/>
                <w:szCs w:val="21"/>
              </w:rPr>
            </w:pPr>
            <w:r>
              <w:rPr>
                <w:rFonts w:hint="eastAsia" w:ascii="宋体" w:hAnsi="宋体" w:cs="宋体"/>
                <w:color w:val="000000"/>
                <w:kern w:val="0"/>
                <w:szCs w:val="21"/>
              </w:rPr>
              <w:t>新增</w:t>
            </w:r>
          </w:p>
        </w:tc>
      </w:tr>
      <w:tr w14:paraId="0F2DB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noWrap/>
            <w:vAlign w:val="center"/>
          </w:tcPr>
          <w:p w14:paraId="7FE8365A">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767" w:type="pct"/>
          </w:tcPr>
          <w:p w14:paraId="4FE6D562">
            <w:pPr>
              <w:jc w:val="center"/>
            </w:pPr>
            <w:r>
              <w:rPr>
                <w:rFonts w:hint="eastAsia" w:ascii="宋体" w:hAnsi="宋体" w:cs="宋体"/>
                <w:color w:val="000000"/>
                <w:kern w:val="0"/>
                <w:szCs w:val="21"/>
              </w:rPr>
              <w:t>/</w:t>
            </w:r>
          </w:p>
        </w:tc>
        <w:tc>
          <w:tcPr>
            <w:tcW w:w="998" w:type="pct"/>
            <w:vAlign w:val="center"/>
          </w:tcPr>
          <w:p w14:paraId="14A04071">
            <w:pPr>
              <w:widowControl/>
              <w:jc w:val="center"/>
              <w:rPr>
                <w:rFonts w:ascii="宋体" w:hAnsi="宋体" w:cs="宋体"/>
                <w:color w:val="000000"/>
                <w:kern w:val="0"/>
                <w:szCs w:val="21"/>
              </w:rPr>
            </w:pPr>
            <w:r>
              <w:rPr>
                <w:rFonts w:hint="eastAsia" w:ascii="宋体" w:hAnsi="宋体" w:cs="宋体"/>
                <w:color w:val="000000"/>
                <w:kern w:val="0"/>
                <w:szCs w:val="21"/>
              </w:rPr>
              <w:t>地铁站</w:t>
            </w:r>
          </w:p>
        </w:tc>
        <w:tc>
          <w:tcPr>
            <w:tcW w:w="832" w:type="pct"/>
          </w:tcPr>
          <w:p w14:paraId="5DBE9C8B">
            <w:pPr>
              <w:jc w:val="center"/>
            </w:pPr>
            <w:r>
              <w:rPr>
                <w:rFonts w:hint="eastAsia" w:ascii="宋体" w:hAnsi="宋体" w:cs="宋体"/>
                <w:color w:val="000000"/>
                <w:kern w:val="0"/>
                <w:szCs w:val="21"/>
              </w:rPr>
              <w:t>/</w:t>
            </w:r>
          </w:p>
        </w:tc>
        <w:tc>
          <w:tcPr>
            <w:tcW w:w="1580" w:type="pct"/>
            <w:vAlign w:val="center"/>
          </w:tcPr>
          <w:p w14:paraId="7D459BF7">
            <w:pPr>
              <w:widowControl/>
              <w:jc w:val="center"/>
              <w:rPr>
                <w:rFonts w:ascii="宋体" w:hAnsi="宋体" w:cs="宋体"/>
                <w:color w:val="000000"/>
                <w:kern w:val="0"/>
                <w:szCs w:val="21"/>
              </w:rPr>
            </w:pPr>
            <w:r>
              <w:rPr>
                <w:rFonts w:ascii="宋体" w:hAnsi="宋体" w:cs="宋体"/>
                <w:color w:val="000000"/>
                <w:kern w:val="0"/>
                <w:szCs w:val="21"/>
              </w:rPr>
              <w:t>G5412</w:t>
            </w:r>
            <w:r>
              <w:rPr>
                <w:rFonts w:hint="eastAsia" w:ascii="宋体" w:hAnsi="宋体" w:cs="宋体"/>
                <w:color w:val="000000"/>
                <w:kern w:val="0"/>
                <w:szCs w:val="21"/>
              </w:rPr>
              <w:t>城市轨道交通</w:t>
            </w:r>
          </w:p>
        </w:tc>
        <w:tc>
          <w:tcPr>
            <w:tcW w:w="447" w:type="pct"/>
            <w:vAlign w:val="center"/>
          </w:tcPr>
          <w:p w14:paraId="7954C9E8">
            <w:pPr>
              <w:widowControl/>
              <w:jc w:val="center"/>
              <w:rPr>
                <w:rFonts w:ascii="宋体" w:hAnsi="宋体" w:cs="宋体"/>
                <w:color w:val="000000"/>
                <w:kern w:val="0"/>
                <w:szCs w:val="21"/>
              </w:rPr>
            </w:pPr>
            <w:r>
              <w:rPr>
                <w:rFonts w:hint="eastAsia" w:ascii="宋体" w:hAnsi="宋体" w:cs="宋体"/>
                <w:color w:val="000000"/>
                <w:kern w:val="0"/>
                <w:szCs w:val="21"/>
              </w:rPr>
              <w:t>新增</w:t>
            </w:r>
          </w:p>
        </w:tc>
      </w:tr>
      <w:tr w14:paraId="09BB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6" w:type="pct"/>
            <w:noWrap/>
            <w:vAlign w:val="center"/>
          </w:tcPr>
          <w:p w14:paraId="10CB97C0">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767" w:type="pct"/>
          </w:tcPr>
          <w:p w14:paraId="4C672AC0">
            <w:pPr>
              <w:jc w:val="center"/>
            </w:pPr>
            <w:r>
              <w:rPr>
                <w:rFonts w:hint="eastAsia" w:ascii="宋体" w:hAnsi="宋体" w:cs="宋体"/>
                <w:color w:val="000000"/>
                <w:kern w:val="0"/>
                <w:szCs w:val="21"/>
              </w:rPr>
              <w:t>/</w:t>
            </w:r>
          </w:p>
        </w:tc>
        <w:tc>
          <w:tcPr>
            <w:tcW w:w="998" w:type="pct"/>
            <w:vAlign w:val="center"/>
          </w:tcPr>
          <w:p w14:paraId="63D55206">
            <w:pPr>
              <w:widowControl/>
              <w:jc w:val="center"/>
              <w:rPr>
                <w:rFonts w:ascii="宋体" w:hAnsi="宋体" w:cs="宋体"/>
                <w:color w:val="000000"/>
                <w:kern w:val="0"/>
                <w:szCs w:val="21"/>
              </w:rPr>
            </w:pPr>
            <w:r>
              <w:rPr>
                <w:rFonts w:hint="eastAsia" w:ascii="宋体" w:hAnsi="宋体" w:cs="宋体"/>
                <w:color w:val="000000"/>
                <w:kern w:val="0"/>
                <w:szCs w:val="21"/>
              </w:rPr>
              <w:t>火车站</w:t>
            </w:r>
          </w:p>
        </w:tc>
        <w:tc>
          <w:tcPr>
            <w:tcW w:w="832" w:type="pct"/>
          </w:tcPr>
          <w:p w14:paraId="641C9F5E">
            <w:pPr>
              <w:jc w:val="center"/>
            </w:pPr>
            <w:r>
              <w:rPr>
                <w:rFonts w:hint="eastAsia" w:ascii="宋体" w:hAnsi="宋体" w:cs="宋体"/>
                <w:color w:val="000000"/>
                <w:kern w:val="0"/>
                <w:szCs w:val="21"/>
              </w:rPr>
              <w:t>/</w:t>
            </w:r>
          </w:p>
        </w:tc>
        <w:tc>
          <w:tcPr>
            <w:tcW w:w="1580" w:type="pct"/>
            <w:vAlign w:val="bottom"/>
          </w:tcPr>
          <w:p w14:paraId="0DFB441A">
            <w:pPr>
              <w:widowControl/>
              <w:jc w:val="center"/>
              <w:rPr>
                <w:rFonts w:ascii="宋体" w:hAnsi="宋体" w:cs="宋体"/>
                <w:color w:val="000000"/>
                <w:kern w:val="0"/>
                <w:szCs w:val="21"/>
              </w:rPr>
            </w:pPr>
            <w:r>
              <w:rPr>
                <w:rFonts w:ascii="宋体" w:hAnsi="宋体" w:cs="宋体"/>
                <w:color w:val="000000"/>
                <w:kern w:val="0"/>
                <w:szCs w:val="21"/>
              </w:rPr>
              <w:t>G5331</w:t>
            </w:r>
            <w:r>
              <w:rPr>
                <w:rFonts w:hint="eastAsia" w:ascii="宋体" w:hAnsi="宋体" w:cs="宋体"/>
                <w:color w:val="000000"/>
                <w:kern w:val="0"/>
                <w:szCs w:val="21"/>
              </w:rPr>
              <w:t>客运火车站</w:t>
            </w:r>
          </w:p>
        </w:tc>
        <w:tc>
          <w:tcPr>
            <w:tcW w:w="447" w:type="pct"/>
            <w:vAlign w:val="center"/>
          </w:tcPr>
          <w:p w14:paraId="5B07F231">
            <w:pPr>
              <w:widowControl/>
              <w:jc w:val="center"/>
              <w:rPr>
                <w:rFonts w:ascii="宋体" w:hAnsi="宋体" w:cs="宋体"/>
                <w:color w:val="000000"/>
                <w:kern w:val="0"/>
                <w:szCs w:val="21"/>
              </w:rPr>
            </w:pPr>
            <w:r>
              <w:rPr>
                <w:rFonts w:hint="eastAsia" w:ascii="宋体" w:hAnsi="宋体" w:cs="宋体"/>
                <w:color w:val="000000"/>
                <w:kern w:val="0"/>
                <w:szCs w:val="21"/>
              </w:rPr>
              <w:t>新增</w:t>
            </w:r>
          </w:p>
        </w:tc>
      </w:tr>
    </w:tbl>
    <w:p w14:paraId="1B09F99A">
      <w:pPr>
        <w:spacing w:line="360" w:lineRule="auto"/>
        <w:rPr>
          <w:rFonts w:ascii="Times New Roman" w:hAnsi="Times New Roman"/>
          <w:sz w:val="24"/>
        </w:rPr>
      </w:pPr>
    </w:p>
    <w:p w14:paraId="5C328413">
      <w:pPr>
        <w:pStyle w:val="2"/>
        <w:keepNext/>
        <w:keepLines/>
        <w:pageBreakBefore w:val="0"/>
        <w:widowControl w:val="0"/>
        <w:numPr>
          <w:ilvl w:val="0"/>
          <w:numId w:val="2"/>
        </w:numPr>
        <w:kinsoku/>
        <w:wordWrap/>
        <w:overflowPunct/>
        <w:topLinePunct w:val="0"/>
        <w:autoSpaceDE/>
        <w:autoSpaceDN/>
        <w:bidi w:val="0"/>
        <w:adjustRightInd/>
        <w:snapToGrid/>
        <w:spacing w:before="0" w:after="0" w:line="240" w:lineRule="auto"/>
        <w:ind w:left="420" w:leftChars="0" w:hanging="420" w:firstLineChars="0"/>
        <w:textAlignment w:val="auto"/>
        <w:rPr>
          <w:rFonts w:hint="eastAsia" w:ascii="楷体_GB2312" w:hAnsi="楷体_GB2312" w:eastAsia="楷体_GB2312" w:cs="楷体_GB2312"/>
        </w:rPr>
      </w:pPr>
      <w:r>
        <w:rPr>
          <w:rFonts w:hint="eastAsia" w:ascii="楷体_GB2312" w:hAnsi="楷体_GB2312" w:eastAsia="楷体_GB2312" w:cs="楷体_GB2312"/>
        </w:rPr>
        <w:t xml:space="preserve"> H住宿和餐饮业 </w:t>
      </w:r>
    </w:p>
    <w:p w14:paraId="7573DF60">
      <w:pPr>
        <w:pStyle w:val="47"/>
        <w:numPr>
          <w:ilvl w:val="0"/>
          <w:numId w:val="4"/>
        </w:numPr>
        <w:spacing w:line="360" w:lineRule="auto"/>
        <w:ind w:left="823" w:hanging="823" w:hangingChars="343"/>
        <w:jc w:val="left"/>
        <w:rPr>
          <w:rFonts w:ascii="Times New Roman" w:hAnsi="Times New Roman"/>
          <w:sz w:val="24"/>
        </w:rPr>
      </w:pPr>
      <w:r>
        <w:rPr>
          <w:rFonts w:hint="eastAsia" w:ascii="Times New Roman" w:hAnsi="Times New Roman"/>
          <w:sz w:val="24"/>
        </w:rPr>
        <w:t>产品名称及</w:t>
      </w:r>
      <w:r>
        <w:rPr>
          <w:rFonts w:ascii="Times New Roman" w:hAnsi="Times New Roman"/>
          <w:sz w:val="24"/>
        </w:rPr>
        <w:t>归类变化</w:t>
      </w:r>
    </w:p>
    <w:p w14:paraId="0FBAD9CD">
      <w:pPr>
        <w:pStyle w:val="47"/>
        <w:spacing w:line="360" w:lineRule="auto"/>
        <w:ind w:firstLine="480"/>
        <w:jc w:val="left"/>
        <w:rPr>
          <w:rFonts w:ascii="Times New Roman" w:hAnsi="Times New Roman"/>
          <w:sz w:val="24"/>
        </w:rPr>
      </w:pPr>
      <w:r>
        <w:rPr>
          <w:rFonts w:hint="eastAsia" w:ascii="Times New Roman" w:hAnsi="Times New Roman"/>
          <w:sz w:val="24"/>
        </w:rPr>
        <w:t>本次住宿和餐饮业新增了</w:t>
      </w:r>
      <w:r>
        <w:rPr>
          <w:rFonts w:ascii="Times New Roman" w:hAnsi="Times New Roman"/>
          <w:sz w:val="24"/>
        </w:rPr>
        <w:t>2</w:t>
      </w:r>
      <w:r>
        <w:rPr>
          <w:rFonts w:hint="eastAsia" w:ascii="Times New Roman" w:hAnsi="Times New Roman"/>
          <w:sz w:val="24"/>
        </w:rPr>
        <w:t>种产品。</w:t>
      </w:r>
    </w:p>
    <w:p w14:paraId="0F4E6D1C">
      <w:pPr>
        <w:pStyle w:val="7"/>
        <w:keepNext/>
        <w:rPr>
          <w:rFonts w:ascii="Times New Roman" w:hAnsi="Times New Roman"/>
          <w:sz w:val="21"/>
          <w:szCs w:val="21"/>
        </w:rPr>
      </w:pPr>
      <w:r>
        <w:rPr>
          <w:rFonts w:ascii="Times New Roman" w:hAnsi="Times New Roman"/>
          <w:sz w:val="21"/>
          <w:szCs w:val="21"/>
        </w:rPr>
        <w:t xml:space="preserve">表 </w:t>
      </w:r>
      <w:r>
        <w:rPr>
          <w:rFonts w:hint="eastAsia" w:ascii="Times New Roman" w:hAnsi="Times New Roman"/>
          <w:sz w:val="21"/>
          <w:szCs w:val="21"/>
          <w:lang w:val="en-US" w:eastAsia="zh-CN"/>
        </w:rPr>
        <w:t>8</w:t>
      </w:r>
      <w:r>
        <w:rPr>
          <w:rFonts w:ascii="Times New Roman" w:hAnsi="Times New Roman"/>
          <w:sz w:val="21"/>
          <w:szCs w:val="21"/>
        </w:rPr>
        <w:t xml:space="preserve">                  </w:t>
      </w:r>
      <w:r>
        <w:rPr>
          <w:rFonts w:hint="eastAsia" w:ascii="Times New Roman" w:hAnsi="Times New Roman"/>
          <w:sz w:val="21"/>
          <w:szCs w:val="21"/>
        </w:rPr>
        <w:t>住宿和餐饮业产品名称及归类明细表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790"/>
        <w:gridCol w:w="2986"/>
        <w:gridCol w:w="790"/>
        <w:gridCol w:w="2714"/>
        <w:gridCol w:w="610"/>
      </w:tblGrid>
      <w:tr w14:paraId="2CED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0" w:type="auto"/>
            <w:vMerge w:val="restart"/>
            <w:noWrap/>
            <w:vAlign w:val="center"/>
          </w:tcPr>
          <w:p w14:paraId="037EBB57">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0" w:type="auto"/>
            <w:gridSpan w:val="2"/>
            <w:noWrap/>
            <w:vAlign w:val="center"/>
          </w:tcPr>
          <w:p w14:paraId="75A4C647">
            <w:pPr>
              <w:widowControl/>
              <w:jc w:val="center"/>
              <w:rPr>
                <w:rFonts w:ascii="宋体" w:hAnsi="宋体" w:cs="宋体"/>
                <w:b/>
                <w:bCs/>
                <w:color w:val="000000"/>
                <w:kern w:val="0"/>
                <w:szCs w:val="21"/>
              </w:rPr>
            </w:pPr>
            <w:r>
              <w:rPr>
                <w:rFonts w:hint="eastAsia" w:ascii="宋体" w:hAnsi="宋体" w:cs="宋体"/>
                <w:b/>
                <w:bCs/>
                <w:color w:val="000000"/>
                <w:kern w:val="0"/>
                <w:szCs w:val="21"/>
              </w:rPr>
              <w:t>产品名称</w:t>
            </w:r>
          </w:p>
        </w:tc>
        <w:tc>
          <w:tcPr>
            <w:tcW w:w="0" w:type="auto"/>
            <w:gridSpan w:val="2"/>
            <w:vAlign w:val="center"/>
          </w:tcPr>
          <w:p w14:paraId="10B85E77">
            <w:pPr>
              <w:widowControl/>
              <w:jc w:val="center"/>
              <w:rPr>
                <w:rFonts w:ascii="宋体" w:hAnsi="宋体" w:cs="宋体"/>
                <w:b/>
                <w:bCs/>
                <w:color w:val="000000"/>
                <w:kern w:val="0"/>
                <w:szCs w:val="21"/>
              </w:rPr>
            </w:pPr>
            <w:r>
              <w:rPr>
                <w:rFonts w:hint="eastAsia" w:ascii="宋体" w:hAnsi="宋体" w:cs="宋体"/>
                <w:b/>
                <w:bCs/>
                <w:color w:val="000000"/>
                <w:kern w:val="0"/>
                <w:szCs w:val="21"/>
              </w:rPr>
              <w:t>行业分类</w:t>
            </w:r>
          </w:p>
        </w:tc>
        <w:tc>
          <w:tcPr>
            <w:tcW w:w="0" w:type="auto"/>
            <w:vMerge w:val="restart"/>
            <w:vAlign w:val="center"/>
          </w:tcPr>
          <w:p w14:paraId="2699927B">
            <w:pPr>
              <w:widowControl/>
              <w:jc w:val="center"/>
              <w:rPr>
                <w:rFonts w:ascii="宋体" w:hAnsi="宋体" w:cs="宋体"/>
                <w:b/>
                <w:bCs/>
                <w:color w:val="000000"/>
                <w:kern w:val="0"/>
                <w:szCs w:val="21"/>
              </w:rPr>
            </w:pPr>
            <w:r>
              <w:rPr>
                <w:rFonts w:hint="eastAsia" w:ascii="宋体" w:hAnsi="宋体" w:cs="宋体"/>
                <w:b/>
                <w:bCs/>
                <w:color w:val="000000"/>
                <w:kern w:val="0"/>
                <w:szCs w:val="21"/>
              </w:rPr>
              <w:t>备注</w:t>
            </w:r>
          </w:p>
        </w:tc>
      </w:tr>
      <w:tr w14:paraId="59591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0" w:type="auto"/>
            <w:vMerge w:val="continue"/>
            <w:vAlign w:val="center"/>
          </w:tcPr>
          <w:p w14:paraId="0CCC75B6">
            <w:pPr>
              <w:widowControl/>
              <w:jc w:val="center"/>
              <w:rPr>
                <w:rFonts w:ascii="宋体" w:hAnsi="宋体" w:cs="宋体"/>
                <w:b/>
                <w:bCs/>
                <w:color w:val="000000"/>
                <w:kern w:val="0"/>
                <w:szCs w:val="21"/>
              </w:rPr>
            </w:pPr>
          </w:p>
        </w:tc>
        <w:tc>
          <w:tcPr>
            <w:tcW w:w="0" w:type="auto"/>
            <w:vAlign w:val="center"/>
          </w:tcPr>
          <w:p w14:paraId="362517A7">
            <w:pPr>
              <w:widowControl/>
              <w:jc w:val="center"/>
              <w:rPr>
                <w:rFonts w:ascii="宋体" w:hAnsi="宋体" w:cs="宋体"/>
                <w:b/>
                <w:bCs/>
                <w:color w:val="000000"/>
                <w:kern w:val="0"/>
                <w:szCs w:val="21"/>
              </w:rPr>
            </w:pPr>
            <w:r>
              <w:rPr>
                <w:rFonts w:hint="eastAsia" w:ascii="宋体" w:hAnsi="宋体" w:cs="宋体"/>
                <w:b/>
                <w:bCs/>
                <w:color w:val="000000"/>
                <w:kern w:val="0"/>
                <w:szCs w:val="21"/>
              </w:rPr>
              <w:t>修订前</w:t>
            </w:r>
          </w:p>
        </w:tc>
        <w:tc>
          <w:tcPr>
            <w:tcW w:w="0" w:type="auto"/>
            <w:vAlign w:val="center"/>
          </w:tcPr>
          <w:p w14:paraId="4735B067">
            <w:pPr>
              <w:widowControl/>
              <w:jc w:val="center"/>
              <w:rPr>
                <w:rFonts w:ascii="宋体" w:hAnsi="宋体" w:cs="宋体"/>
                <w:b/>
                <w:bCs/>
                <w:color w:val="000000"/>
                <w:kern w:val="0"/>
                <w:szCs w:val="21"/>
              </w:rPr>
            </w:pPr>
            <w:r>
              <w:rPr>
                <w:rFonts w:hint="eastAsia" w:ascii="宋体" w:hAnsi="宋体" w:cs="宋体"/>
                <w:b/>
                <w:bCs/>
                <w:color w:val="000000"/>
                <w:kern w:val="0"/>
                <w:szCs w:val="21"/>
              </w:rPr>
              <w:t>修订后</w:t>
            </w:r>
          </w:p>
        </w:tc>
        <w:tc>
          <w:tcPr>
            <w:tcW w:w="0" w:type="auto"/>
            <w:vAlign w:val="center"/>
          </w:tcPr>
          <w:p w14:paraId="330422D0">
            <w:pPr>
              <w:widowControl/>
              <w:jc w:val="center"/>
              <w:rPr>
                <w:rFonts w:ascii="宋体" w:hAnsi="宋体" w:cs="宋体"/>
                <w:b/>
                <w:bCs/>
                <w:color w:val="000000"/>
                <w:kern w:val="0"/>
                <w:szCs w:val="21"/>
              </w:rPr>
            </w:pPr>
            <w:r>
              <w:rPr>
                <w:rFonts w:hint="eastAsia" w:ascii="宋体" w:hAnsi="宋体" w:cs="宋体"/>
                <w:b/>
                <w:bCs/>
                <w:color w:val="000000"/>
                <w:kern w:val="0"/>
                <w:szCs w:val="21"/>
              </w:rPr>
              <w:t>修订前</w:t>
            </w:r>
          </w:p>
        </w:tc>
        <w:tc>
          <w:tcPr>
            <w:tcW w:w="0" w:type="auto"/>
            <w:vAlign w:val="center"/>
          </w:tcPr>
          <w:p w14:paraId="4BFC9B8C">
            <w:pPr>
              <w:widowControl/>
              <w:jc w:val="center"/>
              <w:rPr>
                <w:rFonts w:ascii="宋体" w:hAnsi="宋体" w:cs="宋体"/>
                <w:b/>
                <w:bCs/>
                <w:color w:val="000000"/>
                <w:kern w:val="0"/>
                <w:szCs w:val="21"/>
              </w:rPr>
            </w:pPr>
            <w:r>
              <w:rPr>
                <w:rFonts w:hint="eastAsia" w:ascii="宋体" w:hAnsi="宋体" w:cs="宋体"/>
                <w:b/>
                <w:bCs/>
                <w:color w:val="000000"/>
                <w:kern w:val="0"/>
                <w:szCs w:val="21"/>
              </w:rPr>
              <w:t>修订后</w:t>
            </w:r>
          </w:p>
        </w:tc>
        <w:tc>
          <w:tcPr>
            <w:tcW w:w="0" w:type="auto"/>
            <w:vMerge w:val="continue"/>
            <w:vAlign w:val="center"/>
          </w:tcPr>
          <w:p w14:paraId="14153188">
            <w:pPr>
              <w:widowControl/>
              <w:jc w:val="center"/>
              <w:rPr>
                <w:rFonts w:ascii="宋体" w:hAnsi="宋体" w:cs="宋体"/>
                <w:b/>
                <w:bCs/>
                <w:color w:val="000000"/>
                <w:kern w:val="0"/>
                <w:szCs w:val="21"/>
              </w:rPr>
            </w:pPr>
          </w:p>
        </w:tc>
      </w:tr>
      <w:tr w14:paraId="350F7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0" w:type="auto"/>
            <w:noWrap/>
            <w:vAlign w:val="center"/>
          </w:tcPr>
          <w:p w14:paraId="16A0E4AC">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0" w:type="auto"/>
            <w:vAlign w:val="center"/>
          </w:tcPr>
          <w:p w14:paraId="114DB693">
            <w:pPr>
              <w:jc w:val="center"/>
            </w:pPr>
            <w:r>
              <w:rPr>
                <w:rFonts w:hint="eastAsia" w:ascii="宋体" w:hAnsi="宋体" w:cs="宋体"/>
                <w:color w:val="000000"/>
                <w:kern w:val="0"/>
                <w:szCs w:val="21"/>
              </w:rPr>
              <w:t>/</w:t>
            </w:r>
          </w:p>
        </w:tc>
        <w:tc>
          <w:tcPr>
            <w:tcW w:w="0" w:type="auto"/>
            <w:vAlign w:val="center"/>
          </w:tcPr>
          <w:p w14:paraId="6E84C47C">
            <w:pPr>
              <w:widowControl/>
              <w:jc w:val="center"/>
              <w:rPr>
                <w:rFonts w:ascii="宋体" w:hAnsi="宋体" w:cs="宋体"/>
                <w:color w:val="000000"/>
                <w:kern w:val="0"/>
                <w:szCs w:val="21"/>
              </w:rPr>
            </w:pPr>
            <w:r>
              <w:rPr>
                <w:rFonts w:hint="eastAsia" w:ascii="宋体" w:hAnsi="宋体" w:cs="宋体"/>
                <w:color w:val="000000"/>
                <w:kern w:val="0"/>
                <w:szCs w:val="21"/>
              </w:rPr>
              <w:t>茶馆服务、咖啡馆服务和酒吧服务</w:t>
            </w:r>
          </w:p>
        </w:tc>
        <w:tc>
          <w:tcPr>
            <w:tcW w:w="0" w:type="auto"/>
            <w:vAlign w:val="center"/>
          </w:tcPr>
          <w:p w14:paraId="5A26431F">
            <w:pPr>
              <w:jc w:val="center"/>
            </w:pPr>
            <w:r>
              <w:rPr>
                <w:rFonts w:hint="eastAsia" w:ascii="宋体" w:hAnsi="宋体" w:cs="宋体"/>
                <w:color w:val="000000"/>
                <w:kern w:val="0"/>
                <w:szCs w:val="21"/>
              </w:rPr>
              <w:t>/</w:t>
            </w:r>
          </w:p>
        </w:tc>
        <w:tc>
          <w:tcPr>
            <w:tcW w:w="0" w:type="auto"/>
            <w:vAlign w:val="center"/>
          </w:tcPr>
          <w:p w14:paraId="3815F7FE">
            <w:pPr>
              <w:widowControl/>
              <w:jc w:val="center"/>
              <w:rPr>
                <w:rFonts w:ascii="宋体" w:hAnsi="宋体" w:cs="宋体"/>
                <w:color w:val="000000"/>
                <w:kern w:val="0"/>
                <w:szCs w:val="21"/>
              </w:rPr>
            </w:pPr>
            <w:r>
              <w:rPr>
                <w:rFonts w:hint="eastAsia" w:ascii="宋体" w:hAnsi="宋体" w:cs="宋体"/>
                <w:color w:val="000000"/>
                <w:kern w:val="0"/>
                <w:szCs w:val="21"/>
              </w:rPr>
              <w:t>H6231～H6233饮料及冷饮服务</w:t>
            </w:r>
          </w:p>
        </w:tc>
        <w:tc>
          <w:tcPr>
            <w:tcW w:w="0" w:type="auto"/>
            <w:vAlign w:val="center"/>
          </w:tcPr>
          <w:p w14:paraId="7CECE2E4">
            <w:pPr>
              <w:widowControl/>
              <w:jc w:val="center"/>
              <w:rPr>
                <w:rFonts w:ascii="宋体" w:hAnsi="宋体" w:cs="宋体"/>
                <w:color w:val="000000"/>
                <w:kern w:val="0"/>
                <w:szCs w:val="21"/>
              </w:rPr>
            </w:pPr>
            <w:r>
              <w:rPr>
                <w:rFonts w:hint="eastAsia" w:ascii="宋体" w:hAnsi="宋体" w:cs="宋体"/>
                <w:color w:val="000000"/>
                <w:kern w:val="0"/>
                <w:szCs w:val="21"/>
              </w:rPr>
              <w:t>新增</w:t>
            </w:r>
          </w:p>
        </w:tc>
      </w:tr>
      <w:tr w14:paraId="334F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0" w:type="auto"/>
            <w:noWrap/>
            <w:vAlign w:val="center"/>
          </w:tcPr>
          <w:p w14:paraId="4792F2B0">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0" w:type="auto"/>
            <w:vAlign w:val="center"/>
          </w:tcPr>
          <w:p w14:paraId="624DAA81">
            <w:pPr>
              <w:jc w:val="center"/>
            </w:pPr>
            <w:r>
              <w:rPr>
                <w:rFonts w:hint="eastAsia" w:ascii="宋体" w:hAnsi="宋体" w:cs="宋体"/>
                <w:color w:val="000000"/>
                <w:kern w:val="0"/>
                <w:szCs w:val="21"/>
              </w:rPr>
              <w:t>/</w:t>
            </w:r>
          </w:p>
        </w:tc>
        <w:tc>
          <w:tcPr>
            <w:tcW w:w="0" w:type="auto"/>
            <w:vAlign w:val="center"/>
          </w:tcPr>
          <w:p w14:paraId="29E3BEF3">
            <w:pPr>
              <w:widowControl/>
              <w:jc w:val="center"/>
              <w:rPr>
                <w:rFonts w:ascii="宋体" w:hAnsi="宋体" w:cs="宋体"/>
                <w:color w:val="000000"/>
                <w:kern w:val="0"/>
                <w:szCs w:val="21"/>
              </w:rPr>
            </w:pPr>
            <w:r>
              <w:rPr>
                <w:rFonts w:hint="eastAsia" w:ascii="宋体" w:hAnsi="宋体" w:cs="宋体"/>
                <w:color w:val="000000"/>
                <w:kern w:val="0"/>
                <w:szCs w:val="21"/>
              </w:rPr>
              <w:t>小吃服务、其他未列明餐饮业</w:t>
            </w:r>
          </w:p>
        </w:tc>
        <w:tc>
          <w:tcPr>
            <w:tcW w:w="0" w:type="auto"/>
            <w:vAlign w:val="center"/>
          </w:tcPr>
          <w:p w14:paraId="0C7C712E">
            <w:pPr>
              <w:jc w:val="center"/>
            </w:pPr>
            <w:r>
              <w:rPr>
                <w:rFonts w:hint="eastAsia" w:ascii="宋体" w:hAnsi="宋体" w:cs="宋体"/>
                <w:color w:val="000000"/>
                <w:kern w:val="0"/>
                <w:szCs w:val="21"/>
              </w:rPr>
              <w:t>/</w:t>
            </w:r>
          </w:p>
        </w:tc>
        <w:tc>
          <w:tcPr>
            <w:tcW w:w="0" w:type="auto"/>
            <w:vAlign w:val="center"/>
          </w:tcPr>
          <w:p w14:paraId="3DEA3E1F">
            <w:pPr>
              <w:widowControl/>
              <w:jc w:val="center"/>
              <w:rPr>
                <w:rFonts w:ascii="宋体" w:hAnsi="宋体" w:cs="宋体"/>
                <w:color w:val="000000"/>
                <w:kern w:val="0"/>
                <w:szCs w:val="21"/>
              </w:rPr>
            </w:pPr>
            <w:r>
              <w:rPr>
                <w:rFonts w:hint="eastAsia" w:ascii="宋体" w:hAnsi="宋体" w:cs="宋体"/>
                <w:color w:val="000000"/>
                <w:kern w:val="0"/>
                <w:szCs w:val="21"/>
              </w:rPr>
              <w:t>H6291、H6290其他餐饮业服务</w:t>
            </w:r>
          </w:p>
        </w:tc>
        <w:tc>
          <w:tcPr>
            <w:tcW w:w="0" w:type="auto"/>
            <w:vAlign w:val="center"/>
          </w:tcPr>
          <w:p w14:paraId="3E337E3D">
            <w:pPr>
              <w:widowControl/>
              <w:jc w:val="center"/>
              <w:rPr>
                <w:rFonts w:ascii="宋体" w:hAnsi="宋体" w:cs="宋体"/>
                <w:color w:val="000000"/>
                <w:kern w:val="0"/>
                <w:szCs w:val="21"/>
              </w:rPr>
            </w:pPr>
            <w:r>
              <w:rPr>
                <w:rFonts w:hint="eastAsia" w:ascii="宋体" w:hAnsi="宋体" w:cs="宋体"/>
                <w:color w:val="000000"/>
                <w:kern w:val="0"/>
                <w:szCs w:val="21"/>
              </w:rPr>
              <w:t>新增</w:t>
            </w:r>
          </w:p>
        </w:tc>
      </w:tr>
    </w:tbl>
    <w:p w14:paraId="1CB014ED">
      <w:pPr>
        <w:pStyle w:val="47"/>
        <w:numPr>
          <w:ilvl w:val="0"/>
          <w:numId w:val="4"/>
        </w:numPr>
        <w:spacing w:line="360" w:lineRule="auto"/>
        <w:ind w:left="823" w:hanging="823" w:hangingChars="343"/>
        <w:jc w:val="left"/>
        <w:rPr>
          <w:rFonts w:ascii="Times New Roman" w:hAnsi="Times New Roman"/>
          <w:sz w:val="24"/>
        </w:rPr>
      </w:pPr>
      <w:r>
        <w:rPr>
          <w:rFonts w:hint="eastAsia" w:ascii="Times New Roman" w:hAnsi="Times New Roman"/>
          <w:sz w:val="24"/>
        </w:rPr>
        <w:t>用水定额的</w:t>
      </w:r>
      <w:r>
        <w:rPr>
          <w:rFonts w:ascii="Times New Roman" w:hAnsi="Times New Roman"/>
          <w:sz w:val="24"/>
        </w:rPr>
        <w:t>变化</w:t>
      </w:r>
    </w:p>
    <w:p w14:paraId="7027EE20">
      <w:pPr>
        <w:spacing w:line="360" w:lineRule="auto"/>
        <w:ind w:firstLine="480" w:firstLineChars="200"/>
        <w:rPr>
          <w:rFonts w:ascii="Times New Roman" w:hAnsi="Times New Roman"/>
          <w:sz w:val="24"/>
        </w:rPr>
      </w:pPr>
      <w:r>
        <w:rPr>
          <w:rFonts w:hint="eastAsia" w:ascii="Times New Roman" w:hAnsi="Times New Roman"/>
          <w:sz w:val="24"/>
        </w:rPr>
        <w:t>对旅游饭店及其他一般旅馆的用水定额进行了修订；</w:t>
      </w:r>
    </w:p>
    <w:p w14:paraId="5583100C">
      <w:pPr>
        <w:spacing w:line="360" w:lineRule="auto"/>
        <w:ind w:firstLine="480" w:firstLineChars="200"/>
        <w:rPr>
          <w:rFonts w:ascii="Times New Roman" w:hAnsi="Times New Roman"/>
          <w:sz w:val="24"/>
        </w:rPr>
      </w:pPr>
      <w:r>
        <w:rPr>
          <w:rFonts w:hint="eastAsia" w:ascii="Times New Roman" w:hAnsi="Times New Roman"/>
          <w:sz w:val="24"/>
        </w:rPr>
        <w:t>对正餐服务及快餐服务的用水定额进行了修订。</w:t>
      </w:r>
    </w:p>
    <w:p w14:paraId="0842128B">
      <w:pPr>
        <w:pStyle w:val="2"/>
        <w:keepNext/>
        <w:keepLines/>
        <w:pageBreakBefore w:val="0"/>
        <w:widowControl w:val="0"/>
        <w:numPr>
          <w:ilvl w:val="0"/>
          <w:numId w:val="2"/>
        </w:numPr>
        <w:kinsoku/>
        <w:wordWrap/>
        <w:overflowPunct/>
        <w:topLinePunct w:val="0"/>
        <w:autoSpaceDE/>
        <w:autoSpaceDN/>
        <w:bidi w:val="0"/>
        <w:adjustRightInd/>
        <w:snapToGrid/>
        <w:spacing w:before="0" w:after="0" w:line="240" w:lineRule="auto"/>
        <w:ind w:left="420" w:leftChars="0" w:hanging="420" w:firstLineChars="0"/>
        <w:textAlignment w:val="auto"/>
        <w:rPr>
          <w:rFonts w:hint="eastAsia" w:ascii="楷体_GB2312" w:hAnsi="楷体_GB2312" w:eastAsia="楷体_GB2312" w:cs="楷体_GB2312"/>
        </w:rPr>
      </w:pPr>
      <w:r>
        <w:rPr>
          <w:rFonts w:hint="eastAsia" w:ascii="楷体_GB2312" w:hAnsi="楷体_GB2312" w:eastAsia="楷体_GB2312" w:cs="楷体_GB2312"/>
        </w:rPr>
        <w:t>N水利、环境和公共设施管理业</w:t>
      </w:r>
    </w:p>
    <w:p w14:paraId="33997800">
      <w:pPr>
        <w:pStyle w:val="47"/>
        <w:numPr>
          <w:ilvl w:val="0"/>
          <w:numId w:val="5"/>
        </w:numPr>
        <w:spacing w:line="360" w:lineRule="auto"/>
        <w:ind w:left="823" w:hanging="823" w:hangingChars="343"/>
        <w:jc w:val="left"/>
        <w:rPr>
          <w:rFonts w:ascii="Times New Roman" w:hAnsi="Times New Roman"/>
          <w:sz w:val="24"/>
        </w:rPr>
      </w:pPr>
      <w:r>
        <w:rPr>
          <w:rFonts w:hint="eastAsia" w:ascii="Times New Roman" w:hAnsi="Times New Roman"/>
          <w:sz w:val="24"/>
        </w:rPr>
        <w:t>用水定额的</w:t>
      </w:r>
      <w:r>
        <w:rPr>
          <w:rFonts w:ascii="Times New Roman" w:hAnsi="Times New Roman"/>
          <w:sz w:val="24"/>
        </w:rPr>
        <w:t>变化</w:t>
      </w:r>
    </w:p>
    <w:p w14:paraId="6A72425F">
      <w:pPr>
        <w:spacing w:line="360" w:lineRule="auto"/>
        <w:ind w:firstLine="480" w:firstLineChars="200"/>
        <w:rPr>
          <w:rFonts w:ascii="Times New Roman" w:hAnsi="Times New Roman"/>
          <w:sz w:val="24"/>
        </w:rPr>
      </w:pPr>
      <w:r>
        <w:rPr>
          <w:rFonts w:hint="eastAsia" w:ascii="Times New Roman" w:hAnsi="Times New Roman"/>
          <w:sz w:val="24"/>
        </w:rPr>
        <w:t>对环境卫生管理（道路、场地浇洒）及绿化管理（绿化浇洒）的用水定额进行了修订。</w:t>
      </w:r>
    </w:p>
    <w:p w14:paraId="6E62A099">
      <w:pPr>
        <w:pStyle w:val="2"/>
        <w:keepNext/>
        <w:keepLines/>
        <w:pageBreakBefore w:val="0"/>
        <w:widowControl w:val="0"/>
        <w:numPr>
          <w:ilvl w:val="0"/>
          <w:numId w:val="2"/>
        </w:numPr>
        <w:kinsoku/>
        <w:wordWrap/>
        <w:overflowPunct/>
        <w:topLinePunct w:val="0"/>
        <w:autoSpaceDE/>
        <w:autoSpaceDN/>
        <w:bidi w:val="0"/>
        <w:adjustRightInd/>
        <w:snapToGrid/>
        <w:spacing w:before="0" w:after="0" w:line="240" w:lineRule="auto"/>
        <w:ind w:left="420" w:leftChars="0" w:hanging="420" w:firstLineChars="0"/>
        <w:textAlignment w:val="auto"/>
        <w:rPr>
          <w:rFonts w:hint="eastAsia" w:ascii="楷体_GB2312" w:hAnsi="楷体_GB2312" w:eastAsia="楷体_GB2312" w:cs="楷体_GB2312"/>
        </w:rPr>
      </w:pPr>
      <w:r>
        <w:rPr>
          <w:rFonts w:hint="eastAsia" w:ascii="楷体_GB2312" w:hAnsi="楷体_GB2312" w:eastAsia="楷体_GB2312" w:cs="楷体_GB2312"/>
        </w:rPr>
        <w:t>O居民服务、修理和其他服务业</w:t>
      </w:r>
    </w:p>
    <w:p w14:paraId="45830B98">
      <w:pPr>
        <w:pStyle w:val="47"/>
        <w:numPr>
          <w:ilvl w:val="0"/>
          <w:numId w:val="6"/>
        </w:numPr>
        <w:spacing w:line="360" w:lineRule="auto"/>
        <w:ind w:left="823" w:hanging="823" w:hangingChars="343"/>
        <w:jc w:val="left"/>
        <w:rPr>
          <w:rFonts w:ascii="Times New Roman" w:hAnsi="Times New Roman"/>
          <w:sz w:val="24"/>
        </w:rPr>
      </w:pPr>
      <w:r>
        <w:rPr>
          <w:rFonts w:hint="eastAsia" w:ascii="Times New Roman" w:hAnsi="Times New Roman"/>
          <w:sz w:val="24"/>
        </w:rPr>
        <w:t>用水定额的</w:t>
      </w:r>
      <w:r>
        <w:rPr>
          <w:rFonts w:ascii="Times New Roman" w:hAnsi="Times New Roman"/>
          <w:sz w:val="24"/>
        </w:rPr>
        <w:t>变化</w:t>
      </w:r>
    </w:p>
    <w:p w14:paraId="007F5BC6">
      <w:pPr>
        <w:spacing w:line="360" w:lineRule="auto"/>
        <w:ind w:firstLine="480" w:firstLineChars="200"/>
        <w:rPr>
          <w:rFonts w:ascii="Times New Roman" w:hAnsi="Times New Roman"/>
          <w:sz w:val="24"/>
        </w:rPr>
      </w:pPr>
      <w:r>
        <w:rPr>
          <w:rFonts w:hint="eastAsia" w:ascii="Times New Roman" w:hAnsi="Times New Roman"/>
          <w:sz w:val="24"/>
        </w:rPr>
        <w:t>对洗染服务的用水定额进行了划分；</w:t>
      </w:r>
    </w:p>
    <w:p w14:paraId="184CC17C">
      <w:pPr>
        <w:spacing w:line="360" w:lineRule="auto"/>
        <w:ind w:firstLine="480" w:firstLineChars="200"/>
        <w:rPr>
          <w:rFonts w:ascii="Times New Roman" w:hAnsi="Times New Roman"/>
          <w:sz w:val="24"/>
        </w:rPr>
      </w:pPr>
      <w:r>
        <w:rPr>
          <w:rFonts w:hint="eastAsia" w:ascii="Times New Roman" w:hAnsi="Times New Roman"/>
          <w:sz w:val="24"/>
        </w:rPr>
        <w:t>对理发、美容服务及洗浴服务的用水定额进行了修订；</w:t>
      </w:r>
    </w:p>
    <w:p w14:paraId="0A9B3B12">
      <w:pPr>
        <w:spacing w:line="360" w:lineRule="auto"/>
        <w:ind w:firstLine="480" w:firstLineChars="200"/>
        <w:rPr>
          <w:rFonts w:ascii="Times New Roman" w:hAnsi="Times New Roman"/>
          <w:sz w:val="24"/>
        </w:rPr>
      </w:pPr>
      <w:r>
        <w:rPr>
          <w:rFonts w:hint="eastAsia" w:ascii="Times New Roman" w:hAnsi="Times New Roman"/>
          <w:sz w:val="24"/>
        </w:rPr>
        <w:t>对汽车修理与维护的洗车场所的用水定额进行了划分及修订。</w:t>
      </w:r>
    </w:p>
    <w:p w14:paraId="0C21BDE3">
      <w:pPr>
        <w:pStyle w:val="2"/>
        <w:keepNext/>
        <w:keepLines/>
        <w:pageBreakBefore w:val="0"/>
        <w:widowControl w:val="0"/>
        <w:numPr>
          <w:ilvl w:val="0"/>
          <w:numId w:val="2"/>
        </w:numPr>
        <w:kinsoku/>
        <w:wordWrap/>
        <w:overflowPunct/>
        <w:topLinePunct w:val="0"/>
        <w:autoSpaceDE/>
        <w:autoSpaceDN/>
        <w:bidi w:val="0"/>
        <w:adjustRightInd/>
        <w:snapToGrid/>
        <w:spacing w:before="0" w:after="0" w:line="240" w:lineRule="auto"/>
        <w:ind w:left="420" w:leftChars="0" w:hanging="420" w:firstLineChars="0"/>
        <w:textAlignment w:val="auto"/>
        <w:rPr>
          <w:rFonts w:hint="eastAsia" w:ascii="楷体_GB2312" w:hAnsi="楷体_GB2312" w:eastAsia="楷体_GB2312" w:cs="楷体_GB2312"/>
        </w:rPr>
      </w:pPr>
      <w:r>
        <w:rPr>
          <w:rFonts w:hint="eastAsia" w:ascii="楷体_GB2312" w:hAnsi="楷体_GB2312" w:eastAsia="楷体_GB2312" w:cs="楷体_GB2312"/>
        </w:rPr>
        <w:t xml:space="preserve"> P教育</w:t>
      </w:r>
    </w:p>
    <w:p w14:paraId="1484E322">
      <w:pPr>
        <w:pStyle w:val="47"/>
        <w:numPr>
          <w:ilvl w:val="0"/>
          <w:numId w:val="7"/>
        </w:numPr>
        <w:spacing w:line="360" w:lineRule="auto"/>
        <w:ind w:left="823" w:hanging="823" w:hangingChars="343"/>
        <w:jc w:val="left"/>
        <w:rPr>
          <w:rFonts w:ascii="Times New Roman" w:hAnsi="Times New Roman"/>
          <w:sz w:val="24"/>
        </w:rPr>
      </w:pPr>
      <w:r>
        <w:rPr>
          <w:rFonts w:hint="eastAsia" w:ascii="Times New Roman" w:hAnsi="Times New Roman"/>
          <w:sz w:val="24"/>
        </w:rPr>
        <w:t>用水定额的</w:t>
      </w:r>
      <w:r>
        <w:rPr>
          <w:rFonts w:ascii="Times New Roman" w:hAnsi="Times New Roman"/>
          <w:sz w:val="24"/>
        </w:rPr>
        <w:t>变化</w:t>
      </w:r>
    </w:p>
    <w:p w14:paraId="288359FA">
      <w:pPr>
        <w:spacing w:line="360" w:lineRule="auto"/>
        <w:ind w:firstLine="480" w:firstLineChars="200"/>
        <w:rPr>
          <w:rFonts w:ascii="Times New Roman" w:hAnsi="Times New Roman"/>
          <w:sz w:val="24"/>
        </w:rPr>
      </w:pPr>
      <w:r>
        <w:rPr>
          <w:rFonts w:hint="eastAsia" w:ascii="Times New Roman" w:hAnsi="Times New Roman"/>
          <w:sz w:val="24"/>
        </w:rPr>
        <w:t>对初等教育、中等教育、高等教育的用水定额进行了修订。</w:t>
      </w:r>
    </w:p>
    <w:p w14:paraId="1CD9EE58">
      <w:pPr>
        <w:pStyle w:val="2"/>
        <w:keepNext/>
        <w:keepLines/>
        <w:pageBreakBefore w:val="0"/>
        <w:widowControl w:val="0"/>
        <w:numPr>
          <w:ilvl w:val="0"/>
          <w:numId w:val="2"/>
        </w:numPr>
        <w:kinsoku/>
        <w:wordWrap/>
        <w:overflowPunct/>
        <w:topLinePunct w:val="0"/>
        <w:autoSpaceDE/>
        <w:autoSpaceDN/>
        <w:bidi w:val="0"/>
        <w:adjustRightInd/>
        <w:snapToGrid/>
        <w:spacing w:before="0" w:after="0" w:line="240" w:lineRule="auto"/>
        <w:ind w:left="420" w:leftChars="0" w:hanging="420" w:firstLineChars="0"/>
        <w:textAlignment w:val="auto"/>
        <w:rPr>
          <w:rFonts w:hint="eastAsia" w:ascii="楷体_GB2312" w:hAnsi="楷体_GB2312" w:eastAsia="楷体_GB2312" w:cs="楷体_GB2312"/>
        </w:rPr>
      </w:pPr>
      <w:r>
        <w:rPr>
          <w:rFonts w:hint="eastAsia" w:ascii="楷体_GB2312" w:hAnsi="楷体_GB2312" w:eastAsia="楷体_GB2312" w:cs="楷体_GB2312"/>
        </w:rPr>
        <w:t xml:space="preserve"> Q卫生和社会工作</w:t>
      </w:r>
    </w:p>
    <w:p w14:paraId="3B6BED48">
      <w:pPr>
        <w:pStyle w:val="47"/>
        <w:numPr>
          <w:ilvl w:val="0"/>
          <w:numId w:val="8"/>
        </w:numPr>
        <w:spacing w:line="360" w:lineRule="auto"/>
        <w:ind w:left="823" w:hanging="823" w:hangingChars="343"/>
        <w:jc w:val="left"/>
        <w:rPr>
          <w:rFonts w:ascii="Times New Roman" w:hAnsi="Times New Roman"/>
          <w:sz w:val="24"/>
        </w:rPr>
      </w:pPr>
      <w:r>
        <w:rPr>
          <w:rFonts w:hint="eastAsia" w:ascii="Times New Roman" w:hAnsi="Times New Roman"/>
          <w:sz w:val="24"/>
        </w:rPr>
        <w:t>用水定额的</w:t>
      </w:r>
      <w:r>
        <w:rPr>
          <w:rFonts w:ascii="Times New Roman" w:hAnsi="Times New Roman"/>
          <w:sz w:val="24"/>
        </w:rPr>
        <w:t>变化</w:t>
      </w:r>
    </w:p>
    <w:p w14:paraId="24E76448">
      <w:pPr>
        <w:spacing w:line="360" w:lineRule="auto"/>
        <w:ind w:firstLine="480" w:firstLineChars="200"/>
        <w:rPr>
          <w:rFonts w:ascii="Times New Roman" w:hAnsi="Times New Roman"/>
          <w:sz w:val="24"/>
        </w:rPr>
      </w:pPr>
      <w:r>
        <w:rPr>
          <w:rFonts w:hint="eastAsia" w:ascii="Times New Roman" w:hAnsi="Times New Roman"/>
          <w:sz w:val="24"/>
        </w:rPr>
        <w:t>对综合医院及门诊部（所）的用水定额进行了修订。</w:t>
      </w:r>
    </w:p>
    <w:p w14:paraId="4EF97E1E">
      <w:pPr>
        <w:pStyle w:val="2"/>
        <w:keepNext/>
        <w:keepLines/>
        <w:pageBreakBefore w:val="0"/>
        <w:widowControl w:val="0"/>
        <w:numPr>
          <w:ilvl w:val="0"/>
          <w:numId w:val="2"/>
        </w:numPr>
        <w:kinsoku/>
        <w:wordWrap/>
        <w:overflowPunct/>
        <w:topLinePunct w:val="0"/>
        <w:autoSpaceDE/>
        <w:autoSpaceDN/>
        <w:bidi w:val="0"/>
        <w:adjustRightInd/>
        <w:snapToGrid/>
        <w:spacing w:before="0" w:after="0" w:line="240" w:lineRule="auto"/>
        <w:ind w:left="420" w:leftChars="0" w:hanging="420" w:firstLineChars="0"/>
        <w:textAlignment w:val="auto"/>
        <w:rPr>
          <w:rFonts w:hint="eastAsia" w:ascii="楷体_GB2312" w:hAnsi="楷体_GB2312" w:eastAsia="楷体_GB2312" w:cs="楷体_GB2312"/>
        </w:rPr>
      </w:pPr>
      <w:r>
        <w:rPr>
          <w:rFonts w:hint="eastAsia" w:ascii="楷体_GB2312" w:hAnsi="楷体_GB2312" w:eastAsia="楷体_GB2312" w:cs="楷体_GB2312"/>
        </w:rPr>
        <w:t xml:space="preserve"> R文化、体育和娱乐业</w:t>
      </w:r>
    </w:p>
    <w:p w14:paraId="772CBB8F">
      <w:pPr>
        <w:pStyle w:val="47"/>
        <w:numPr>
          <w:ilvl w:val="0"/>
          <w:numId w:val="9"/>
        </w:numPr>
        <w:spacing w:line="360" w:lineRule="auto"/>
        <w:ind w:left="823" w:hanging="823" w:hangingChars="343"/>
        <w:jc w:val="left"/>
        <w:rPr>
          <w:rFonts w:ascii="Times New Roman" w:hAnsi="Times New Roman"/>
          <w:sz w:val="24"/>
        </w:rPr>
      </w:pPr>
      <w:r>
        <w:rPr>
          <w:rFonts w:hint="eastAsia" w:ascii="Times New Roman" w:hAnsi="Times New Roman"/>
          <w:sz w:val="24"/>
        </w:rPr>
        <w:t>产品名称及</w:t>
      </w:r>
      <w:r>
        <w:rPr>
          <w:rFonts w:ascii="Times New Roman" w:hAnsi="Times New Roman"/>
          <w:sz w:val="24"/>
        </w:rPr>
        <w:t>归类变化</w:t>
      </w:r>
    </w:p>
    <w:p w14:paraId="3BA4C4C9">
      <w:pPr>
        <w:pStyle w:val="47"/>
        <w:spacing w:line="360" w:lineRule="auto"/>
        <w:ind w:firstLine="480"/>
        <w:jc w:val="left"/>
        <w:rPr>
          <w:rFonts w:ascii="Times New Roman" w:hAnsi="Times New Roman"/>
          <w:sz w:val="24"/>
        </w:rPr>
      </w:pPr>
      <w:r>
        <w:rPr>
          <w:rFonts w:hint="eastAsia" w:ascii="Times New Roman" w:hAnsi="Times New Roman"/>
          <w:sz w:val="24"/>
        </w:rPr>
        <w:t>本次综合性体育场新增了</w:t>
      </w:r>
      <w:r>
        <w:rPr>
          <w:rFonts w:ascii="Times New Roman" w:hAnsi="Times New Roman"/>
          <w:sz w:val="24"/>
        </w:rPr>
        <w:t>1</w:t>
      </w:r>
      <w:r>
        <w:rPr>
          <w:rFonts w:hint="eastAsia" w:ascii="Times New Roman" w:hAnsi="Times New Roman"/>
          <w:sz w:val="24"/>
        </w:rPr>
        <w:t>种产品。</w:t>
      </w:r>
    </w:p>
    <w:p w14:paraId="5D627E29">
      <w:pPr>
        <w:pStyle w:val="7"/>
        <w:keepNext/>
        <w:rPr>
          <w:rFonts w:ascii="Times New Roman" w:hAnsi="Times New Roman"/>
          <w:sz w:val="21"/>
          <w:szCs w:val="21"/>
        </w:rPr>
      </w:pPr>
      <w:r>
        <w:rPr>
          <w:rFonts w:ascii="Times New Roman" w:hAnsi="Times New Roman"/>
          <w:sz w:val="21"/>
          <w:szCs w:val="21"/>
        </w:rPr>
        <w:t>表</w:t>
      </w:r>
      <w:r>
        <w:rPr>
          <w:rFonts w:hint="eastAsia" w:ascii="Times New Roman" w:hAnsi="Times New Roman"/>
          <w:sz w:val="21"/>
          <w:szCs w:val="21"/>
          <w:lang w:val="en-US" w:eastAsia="zh-CN"/>
        </w:rPr>
        <w:t>-9</w:t>
      </w:r>
      <w:r>
        <w:rPr>
          <w:rFonts w:ascii="Times New Roman" w:hAnsi="Times New Roman"/>
          <w:sz w:val="21"/>
          <w:szCs w:val="21"/>
        </w:rPr>
        <w:t xml:space="preserve">                 </w:t>
      </w:r>
      <w:r>
        <w:rPr>
          <w:rFonts w:hint="eastAsia" w:ascii="Times New Roman" w:hAnsi="Times New Roman"/>
          <w:sz w:val="21"/>
          <w:szCs w:val="21"/>
        </w:rPr>
        <w:t>综合性体育场产品名称及归类明细表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114"/>
        <w:gridCol w:w="1936"/>
        <w:gridCol w:w="1114"/>
        <w:gridCol w:w="2693"/>
        <w:gridCol w:w="836"/>
      </w:tblGrid>
      <w:tr w14:paraId="5D25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0" w:type="pct"/>
            <w:vMerge w:val="restart"/>
            <w:noWrap/>
            <w:vAlign w:val="center"/>
          </w:tcPr>
          <w:p w14:paraId="483E5819">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787" w:type="pct"/>
            <w:gridSpan w:val="2"/>
            <w:noWrap/>
            <w:vAlign w:val="center"/>
          </w:tcPr>
          <w:p w14:paraId="09EA164D">
            <w:pPr>
              <w:widowControl/>
              <w:jc w:val="center"/>
              <w:rPr>
                <w:rFonts w:ascii="宋体" w:hAnsi="宋体" w:cs="宋体"/>
                <w:b/>
                <w:bCs/>
                <w:color w:val="000000"/>
                <w:kern w:val="0"/>
                <w:szCs w:val="21"/>
              </w:rPr>
            </w:pPr>
            <w:r>
              <w:rPr>
                <w:rFonts w:hint="eastAsia" w:ascii="宋体" w:hAnsi="宋体" w:cs="宋体"/>
                <w:b/>
                <w:bCs/>
                <w:color w:val="000000"/>
                <w:kern w:val="0"/>
                <w:szCs w:val="21"/>
              </w:rPr>
              <w:t>产品名称</w:t>
            </w:r>
          </w:p>
        </w:tc>
        <w:tc>
          <w:tcPr>
            <w:tcW w:w="2232" w:type="pct"/>
            <w:gridSpan w:val="2"/>
            <w:vAlign w:val="center"/>
          </w:tcPr>
          <w:p w14:paraId="16735800">
            <w:pPr>
              <w:widowControl/>
              <w:jc w:val="center"/>
              <w:rPr>
                <w:rFonts w:ascii="宋体" w:hAnsi="宋体" w:cs="宋体"/>
                <w:b/>
                <w:bCs/>
                <w:color w:val="000000"/>
                <w:kern w:val="0"/>
                <w:szCs w:val="21"/>
              </w:rPr>
            </w:pPr>
            <w:r>
              <w:rPr>
                <w:rFonts w:hint="eastAsia" w:ascii="宋体" w:hAnsi="宋体" w:cs="宋体"/>
                <w:b/>
                <w:bCs/>
                <w:color w:val="000000"/>
                <w:kern w:val="0"/>
                <w:szCs w:val="21"/>
              </w:rPr>
              <w:t>行业分类</w:t>
            </w:r>
          </w:p>
        </w:tc>
        <w:tc>
          <w:tcPr>
            <w:tcW w:w="490" w:type="pct"/>
            <w:vMerge w:val="restart"/>
            <w:vAlign w:val="center"/>
          </w:tcPr>
          <w:p w14:paraId="31AB0BA4">
            <w:pPr>
              <w:widowControl/>
              <w:jc w:val="center"/>
              <w:rPr>
                <w:rFonts w:ascii="宋体" w:hAnsi="宋体" w:cs="宋体"/>
                <w:b/>
                <w:bCs/>
                <w:color w:val="000000"/>
                <w:kern w:val="0"/>
                <w:szCs w:val="21"/>
              </w:rPr>
            </w:pPr>
            <w:r>
              <w:rPr>
                <w:rFonts w:hint="eastAsia" w:ascii="宋体" w:hAnsi="宋体" w:cs="宋体"/>
                <w:b/>
                <w:bCs/>
                <w:color w:val="000000"/>
                <w:kern w:val="0"/>
                <w:szCs w:val="21"/>
              </w:rPr>
              <w:t>备注</w:t>
            </w:r>
          </w:p>
        </w:tc>
      </w:tr>
      <w:tr w14:paraId="0FC2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0" w:type="pct"/>
            <w:vMerge w:val="continue"/>
            <w:vAlign w:val="center"/>
          </w:tcPr>
          <w:p w14:paraId="454F599A">
            <w:pPr>
              <w:widowControl/>
              <w:jc w:val="center"/>
              <w:rPr>
                <w:rFonts w:ascii="宋体" w:hAnsi="宋体" w:cs="宋体"/>
                <w:b/>
                <w:bCs/>
                <w:color w:val="000000"/>
                <w:kern w:val="0"/>
                <w:szCs w:val="21"/>
              </w:rPr>
            </w:pPr>
          </w:p>
        </w:tc>
        <w:tc>
          <w:tcPr>
            <w:tcW w:w="653" w:type="pct"/>
            <w:vAlign w:val="center"/>
          </w:tcPr>
          <w:p w14:paraId="0CF42BB9">
            <w:pPr>
              <w:widowControl/>
              <w:jc w:val="center"/>
              <w:rPr>
                <w:rFonts w:ascii="宋体" w:hAnsi="宋体" w:cs="宋体"/>
                <w:b/>
                <w:bCs/>
                <w:color w:val="000000"/>
                <w:kern w:val="0"/>
                <w:szCs w:val="21"/>
              </w:rPr>
            </w:pPr>
            <w:r>
              <w:rPr>
                <w:rFonts w:hint="eastAsia" w:ascii="宋体" w:hAnsi="宋体" w:cs="宋体"/>
                <w:b/>
                <w:bCs/>
                <w:color w:val="000000"/>
                <w:kern w:val="0"/>
                <w:szCs w:val="21"/>
              </w:rPr>
              <w:t>修订前</w:t>
            </w:r>
          </w:p>
        </w:tc>
        <w:tc>
          <w:tcPr>
            <w:tcW w:w="1135" w:type="pct"/>
            <w:vAlign w:val="center"/>
          </w:tcPr>
          <w:p w14:paraId="3A318073">
            <w:pPr>
              <w:widowControl/>
              <w:jc w:val="center"/>
              <w:rPr>
                <w:rFonts w:ascii="宋体" w:hAnsi="宋体" w:cs="宋体"/>
                <w:b/>
                <w:bCs/>
                <w:color w:val="000000"/>
                <w:kern w:val="0"/>
                <w:szCs w:val="21"/>
              </w:rPr>
            </w:pPr>
            <w:r>
              <w:rPr>
                <w:rFonts w:hint="eastAsia" w:ascii="宋体" w:hAnsi="宋体" w:cs="宋体"/>
                <w:b/>
                <w:bCs/>
                <w:color w:val="000000"/>
                <w:kern w:val="0"/>
                <w:szCs w:val="21"/>
              </w:rPr>
              <w:t>修订后</w:t>
            </w:r>
          </w:p>
        </w:tc>
        <w:tc>
          <w:tcPr>
            <w:tcW w:w="653" w:type="pct"/>
            <w:vAlign w:val="center"/>
          </w:tcPr>
          <w:p w14:paraId="214268EF">
            <w:pPr>
              <w:widowControl/>
              <w:jc w:val="center"/>
              <w:rPr>
                <w:rFonts w:ascii="宋体" w:hAnsi="宋体" w:cs="宋体"/>
                <w:b/>
                <w:bCs/>
                <w:color w:val="000000"/>
                <w:kern w:val="0"/>
                <w:szCs w:val="21"/>
              </w:rPr>
            </w:pPr>
            <w:r>
              <w:rPr>
                <w:rFonts w:hint="eastAsia" w:ascii="宋体" w:hAnsi="宋体" w:cs="宋体"/>
                <w:b/>
                <w:bCs/>
                <w:color w:val="000000"/>
                <w:kern w:val="0"/>
                <w:szCs w:val="21"/>
              </w:rPr>
              <w:t>修订前</w:t>
            </w:r>
          </w:p>
        </w:tc>
        <w:tc>
          <w:tcPr>
            <w:tcW w:w="1579" w:type="pct"/>
            <w:vAlign w:val="center"/>
          </w:tcPr>
          <w:p w14:paraId="024AEF44">
            <w:pPr>
              <w:widowControl/>
              <w:jc w:val="center"/>
              <w:rPr>
                <w:rFonts w:ascii="宋体" w:hAnsi="宋体" w:cs="宋体"/>
                <w:b/>
                <w:bCs/>
                <w:color w:val="000000"/>
                <w:kern w:val="0"/>
                <w:szCs w:val="21"/>
              </w:rPr>
            </w:pPr>
            <w:r>
              <w:rPr>
                <w:rFonts w:hint="eastAsia" w:ascii="宋体" w:hAnsi="宋体" w:cs="宋体"/>
                <w:b/>
                <w:bCs/>
                <w:color w:val="000000"/>
                <w:kern w:val="0"/>
                <w:szCs w:val="21"/>
              </w:rPr>
              <w:t>修订后</w:t>
            </w:r>
          </w:p>
        </w:tc>
        <w:tc>
          <w:tcPr>
            <w:tcW w:w="490" w:type="pct"/>
            <w:vMerge w:val="continue"/>
            <w:vAlign w:val="center"/>
          </w:tcPr>
          <w:p w14:paraId="24E35E59">
            <w:pPr>
              <w:widowControl/>
              <w:jc w:val="center"/>
              <w:rPr>
                <w:rFonts w:ascii="宋体" w:hAnsi="宋体" w:cs="宋体"/>
                <w:b/>
                <w:bCs/>
                <w:color w:val="000000"/>
                <w:kern w:val="0"/>
                <w:szCs w:val="21"/>
              </w:rPr>
            </w:pPr>
          </w:p>
        </w:tc>
      </w:tr>
      <w:tr w14:paraId="09481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0" w:type="pct"/>
            <w:noWrap/>
            <w:vAlign w:val="center"/>
          </w:tcPr>
          <w:p w14:paraId="0E1180C0">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653" w:type="pct"/>
            <w:vAlign w:val="center"/>
          </w:tcPr>
          <w:p w14:paraId="4CD3C1C0">
            <w:pPr>
              <w:jc w:val="center"/>
            </w:pPr>
            <w:r>
              <w:rPr>
                <w:rFonts w:hint="eastAsia" w:ascii="宋体" w:hAnsi="宋体" w:cs="宋体"/>
                <w:color w:val="000000"/>
                <w:kern w:val="0"/>
                <w:szCs w:val="21"/>
              </w:rPr>
              <w:t>/</w:t>
            </w:r>
          </w:p>
        </w:tc>
        <w:tc>
          <w:tcPr>
            <w:tcW w:w="1135" w:type="pct"/>
            <w:vAlign w:val="center"/>
          </w:tcPr>
          <w:p w14:paraId="64B42264">
            <w:pPr>
              <w:widowControl/>
              <w:jc w:val="center"/>
              <w:rPr>
                <w:rFonts w:ascii="宋体" w:hAnsi="宋体" w:cs="宋体"/>
                <w:color w:val="000000"/>
                <w:kern w:val="0"/>
                <w:szCs w:val="21"/>
              </w:rPr>
            </w:pPr>
            <w:r>
              <w:rPr>
                <w:rFonts w:hint="eastAsia" w:ascii="宋体" w:hAnsi="宋体" w:cs="宋体"/>
                <w:color w:val="000000"/>
                <w:kern w:val="0"/>
                <w:szCs w:val="21"/>
              </w:rPr>
              <w:t>综合性体育场</w:t>
            </w:r>
          </w:p>
        </w:tc>
        <w:tc>
          <w:tcPr>
            <w:tcW w:w="653" w:type="pct"/>
            <w:vAlign w:val="center"/>
          </w:tcPr>
          <w:p w14:paraId="133BAE28">
            <w:pPr>
              <w:jc w:val="center"/>
            </w:pPr>
            <w:r>
              <w:rPr>
                <w:rFonts w:hint="eastAsia" w:ascii="宋体" w:hAnsi="宋体" w:cs="宋体"/>
                <w:color w:val="000000"/>
                <w:kern w:val="0"/>
                <w:szCs w:val="21"/>
              </w:rPr>
              <w:t>/</w:t>
            </w:r>
          </w:p>
        </w:tc>
        <w:tc>
          <w:tcPr>
            <w:tcW w:w="1579" w:type="pct"/>
            <w:vAlign w:val="center"/>
          </w:tcPr>
          <w:p w14:paraId="57EB2F1C">
            <w:pPr>
              <w:widowControl/>
              <w:jc w:val="center"/>
              <w:rPr>
                <w:rFonts w:ascii="宋体" w:hAnsi="宋体" w:cs="宋体"/>
                <w:color w:val="000000"/>
                <w:kern w:val="0"/>
                <w:szCs w:val="21"/>
              </w:rPr>
            </w:pPr>
            <w:r>
              <w:rPr>
                <w:rFonts w:ascii="宋体" w:hAnsi="宋体" w:cs="宋体"/>
                <w:color w:val="000000"/>
                <w:kern w:val="0"/>
                <w:szCs w:val="21"/>
              </w:rPr>
              <w:t>R8921</w:t>
            </w:r>
            <w:r>
              <w:rPr>
                <w:rFonts w:hint="eastAsia" w:ascii="宋体" w:hAnsi="宋体" w:cs="宋体"/>
                <w:color w:val="000000"/>
                <w:kern w:val="0"/>
                <w:szCs w:val="21"/>
              </w:rPr>
              <w:t>体育场馆管理</w:t>
            </w:r>
          </w:p>
        </w:tc>
        <w:tc>
          <w:tcPr>
            <w:tcW w:w="490" w:type="pct"/>
            <w:vAlign w:val="center"/>
          </w:tcPr>
          <w:p w14:paraId="48915CA7">
            <w:pPr>
              <w:widowControl/>
              <w:jc w:val="center"/>
              <w:rPr>
                <w:rFonts w:ascii="宋体" w:hAnsi="宋体" w:cs="宋体"/>
                <w:color w:val="000000"/>
                <w:kern w:val="0"/>
                <w:szCs w:val="21"/>
              </w:rPr>
            </w:pPr>
            <w:r>
              <w:rPr>
                <w:rFonts w:hint="eastAsia" w:ascii="宋体" w:hAnsi="宋体" w:cs="宋体"/>
                <w:color w:val="000000"/>
                <w:kern w:val="0"/>
                <w:szCs w:val="21"/>
              </w:rPr>
              <w:t>新增</w:t>
            </w:r>
          </w:p>
        </w:tc>
      </w:tr>
    </w:tbl>
    <w:p w14:paraId="71D36DE8">
      <w:pPr>
        <w:pStyle w:val="47"/>
        <w:numPr>
          <w:ilvl w:val="0"/>
          <w:numId w:val="9"/>
        </w:numPr>
        <w:spacing w:line="360" w:lineRule="auto"/>
        <w:ind w:left="823" w:hanging="823" w:hangingChars="343"/>
        <w:jc w:val="left"/>
        <w:rPr>
          <w:rFonts w:ascii="Times New Roman" w:hAnsi="Times New Roman"/>
          <w:sz w:val="24"/>
        </w:rPr>
      </w:pPr>
      <w:r>
        <w:rPr>
          <w:rFonts w:hint="eastAsia" w:ascii="Times New Roman" w:hAnsi="Times New Roman"/>
          <w:sz w:val="24"/>
        </w:rPr>
        <w:t>用水定额的</w:t>
      </w:r>
      <w:r>
        <w:rPr>
          <w:rFonts w:ascii="Times New Roman" w:hAnsi="Times New Roman"/>
          <w:sz w:val="24"/>
        </w:rPr>
        <w:t>变化</w:t>
      </w:r>
    </w:p>
    <w:p w14:paraId="178E58F2">
      <w:pPr>
        <w:spacing w:line="360" w:lineRule="auto"/>
        <w:ind w:firstLine="480" w:firstLineChars="200"/>
        <w:rPr>
          <w:rFonts w:ascii="Times New Roman" w:hAnsi="Times New Roman"/>
          <w:sz w:val="24"/>
        </w:rPr>
      </w:pPr>
      <w:r>
        <w:rPr>
          <w:rFonts w:hint="eastAsia" w:ascii="Times New Roman" w:hAnsi="Times New Roman"/>
          <w:sz w:val="24"/>
        </w:rPr>
        <w:t>对艺术表演场馆、图书馆、档案馆及博物馆的用水定额进行了修订；</w:t>
      </w:r>
    </w:p>
    <w:p w14:paraId="41E6B9F7">
      <w:pPr>
        <w:spacing w:line="360" w:lineRule="auto"/>
        <w:ind w:firstLine="480" w:firstLineChars="200"/>
        <w:rPr>
          <w:rFonts w:ascii="Times New Roman" w:hAnsi="Times New Roman"/>
          <w:sz w:val="24"/>
        </w:rPr>
      </w:pPr>
      <w:r>
        <w:rPr>
          <w:rFonts w:hint="eastAsia" w:ascii="Times New Roman" w:hAnsi="Times New Roman"/>
          <w:sz w:val="24"/>
        </w:rPr>
        <w:t>对体育场馆管理中的游泳馆及运动员淋浴的用水定额进行了修订；</w:t>
      </w:r>
    </w:p>
    <w:p w14:paraId="3ECB0FE4">
      <w:pPr>
        <w:spacing w:line="360" w:lineRule="auto"/>
        <w:ind w:firstLine="480" w:firstLineChars="200"/>
        <w:rPr>
          <w:rFonts w:ascii="Times New Roman" w:hAnsi="Times New Roman"/>
          <w:sz w:val="24"/>
        </w:rPr>
      </w:pPr>
      <w:r>
        <w:rPr>
          <w:rFonts w:hint="eastAsia" w:ascii="Times New Roman" w:hAnsi="Times New Roman"/>
          <w:sz w:val="24"/>
        </w:rPr>
        <w:t>对健身休闲活动中的室外人工滑雪场及高尔夫球场的用水定额进行了修订。</w:t>
      </w:r>
    </w:p>
    <w:p w14:paraId="572E585D">
      <w:pPr>
        <w:pStyle w:val="2"/>
        <w:keepNext/>
        <w:keepLines/>
        <w:pageBreakBefore w:val="0"/>
        <w:widowControl w:val="0"/>
        <w:numPr>
          <w:ilvl w:val="0"/>
          <w:numId w:val="2"/>
        </w:numPr>
        <w:kinsoku/>
        <w:wordWrap/>
        <w:overflowPunct/>
        <w:topLinePunct w:val="0"/>
        <w:autoSpaceDE/>
        <w:autoSpaceDN/>
        <w:bidi w:val="0"/>
        <w:adjustRightInd/>
        <w:snapToGrid/>
        <w:spacing w:before="0" w:after="0" w:line="240" w:lineRule="auto"/>
        <w:ind w:left="420" w:leftChars="0" w:hanging="420" w:firstLineChars="0"/>
        <w:textAlignment w:val="auto"/>
        <w:rPr>
          <w:rFonts w:hint="eastAsia" w:ascii="楷体_GB2312" w:hAnsi="楷体_GB2312" w:eastAsia="楷体_GB2312" w:cs="楷体_GB2312"/>
        </w:rPr>
      </w:pPr>
      <w:r>
        <w:rPr>
          <w:rFonts w:hint="eastAsia" w:ascii="楷体_GB2312" w:hAnsi="楷体_GB2312" w:eastAsia="楷体_GB2312" w:cs="楷体_GB2312"/>
        </w:rPr>
        <w:t xml:space="preserve"> S公共管理、社会保障和社会组织</w:t>
      </w:r>
    </w:p>
    <w:p w14:paraId="71C8E349">
      <w:pPr>
        <w:pStyle w:val="47"/>
        <w:numPr>
          <w:ilvl w:val="0"/>
          <w:numId w:val="10"/>
        </w:numPr>
        <w:spacing w:line="360" w:lineRule="auto"/>
        <w:ind w:left="823" w:hanging="823" w:hangingChars="343"/>
        <w:jc w:val="left"/>
        <w:rPr>
          <w:rFonts w:ascii="Times New Roman" w:hAnsi="Times New Roman"/>
          <w:color w:val="000000"/>
          <w:sz w:val="24"/>
          <w:szCs w:val="24"/>
        </w:rPr>
      </w:pPr>
      <w:r>
        <w:rPr>
          <w:rFonts w:hint="eastAsia" w:ascii="Times New Roman" w:hAnsi="Times New Roman"/>
          <w:color w:val="000000"/>
          <w:sz w:val="24"/>
          <w:szCs w:val="24"/>
        </w:rPr>
        <w:t>用水定额的</w:t>
      </w:r>
      <w:r>
        <w:rPr>
          <w:rFonts w:ascii="Times New Roman" w:hAnsi="Times New Roman"/>
          <w:color w:val="000000"/>
          <w:sz w:val="24"/>
          <w:szCs w:val="24"/>
        </w:rPr>
        <w:t>变化</w:t>
      </w:r>
    </w:p>
    <w:p w14:paraId="1910433B">
      <w:pPr>
        <w:spacing w:line="360" w:lineRule="auto"/>
        <w:ind w:firstLine="480" w:firstLineChars="200"/>
        <w:rPr>
          <w:rFonts w:ascii="Times New Roman" w:hAnsi="Times New Roman"/>
          <w:sz w:val="24"/>
        </w:rPr>
      </w:pPr>
      <w:r>
        <w:rPr>
          <w:rFonts w:hint="eastAsia" w:ascii="Times New Roman" w:hAnsi="Times New Roman"/>
          <w:sz w:val="24"/>
        </w:rPr>
        <w:t>对机关及社会团体及企业、事业单位的用水定额进行了修订。</w:t>
      </w:r>
    </w:p>
    <w:p w14:paraId="0B7A3B79">
      <w:pPr>
        <w:pStyle w:val="2"/>
        <w:keepNext/>
        <w:keepLines/>
        <w:pageBreakBefore w:val="0"/>
        <w:widowControl w:val="0"/>
        <w:numPr>
          <w:ilvl w:val="0"/>
          <w:numId w:val="2"/>
        </w:numPr>
        <w:kinsoku/>
        <w:wordWrap/>
        <w:overflowPunct/>
        <w:topLinePunct w:val="0"/>
        <w:autoSpaceDE/>
        <w:autoSpaceDN/>
        <w:bidi w:val="0"/>
        <w:adjustRightInd/>
        <w:snapToGrid/>
        <w:spacing w:before="0" w:after="0" w:line="240" w:lineRule="auto"/>
        <w:ind w:left="420" w:leftChars="0" w:hanging="420" w:firstLineChars="0"/>
        <w:textAlignment w:val="auto"/>
        <w:rPr>
          <w:rFonts w:hint="eastAsia" w:ascii="楷体_GB2312" w:hAnsi="楷体_GB2312" w:eastAsia="楷体_GB2312" w:cs="楷体_GB2312"/>
        </w:rPr>
      </w:pPr>
      <w:r>
        <w:rPr>
          <w:rFonts w:hint="eastAsia" w:ascii="楷体_GB2312" w:hAnsi="楷体_GB2312" w:eastAsia="楷体_GB2312" w:cs="楷体_GB2312"/>
        </w:rPr>
        <w:t>U生活用水定额</w:t>
      </w:r>
    </w:p>
    <w:p w14:paraId="59084910">
      <w:pPr>
        <w:pStyle w:val="47"/>
        <w:spacing w:line="360" w:lineRule="auto"/>
        <w:ind w:firstLine="480"/>
        <w:rPr>
          <w:rFonts w:ascii="Times New Roman" w:hAnsi="Times New Roman"/>
          <w:sz w:val="24"/>
        </w:rPr>
      </w:pPr>
      <w:r>
        <w:rPr>
          <w:rFonts w:hint="eastAsia" w:ascii="Times New Roman" w:hAnsi="Times New Roman"/>
          <w:sz w:val="24"/>
        </w:rPr>
        <w:t>无变化。</w:t>
      </w:r>
    </w:p>
    <w:p w14:paraId="307B6FE4">
      <w:pPr>
        <w:pStyle w:val="2"/>
        <w:numPr>
          <w:ilvl w:val="0"/>
          <w:numId w:val="0"/>
        </w:numPr>
        <w:ind w:leftChars="0"/>
        <w:rPr>
          <w:rFonts w:ascii="Times New Roman" w:hAnsi="Times New Roman"/>
        </w:rPr>
      </w:pPr>
      <w:bookmarkStart w:id="20" w:name="_Toc193804829"/>
      <w:r>
        <w:rPr>
          <w:rFonts w:hint="eastAsia" w:ascii="Times New Roman" w:hAnsi="Times New Roman"/>
          <w:lang w:val="en-US" w:eastAsia="zh-CN"/>
        </w:rPr>
        <w:t>三、</w:t>
      </w:r>
      <w:r>
        <w:rPr>
          <w:rFonts w:hint="eastAsia" w:ascii="Times New Roman" w:hAnsi="Times New Roman"/>
        </w:rPr>
        <w:t>修订成果</w:t>
      </w:r>
      <w:r>
        <w:rPr>
          <w:rFonts w:ascii="Times New Roman" w:hAnsi="Times New Roman"/>
        </w:rPr>
        <w:t>分析</w:t>
      </w:r>
      <w:bookmarkEnd w:id="20"/>
    </w:p>
    <w:p w14:paraId="44BF816B">
      <w:pPr>
        <w:pStyle w:val="2"/>
        <w:keepNext/>
        <w:keepLines/>
        <w:pageBreakBefore w:val="0"/>
        <w:widowControl w:val="0"/>
        <w:numPr>
          <w:ilvl w:val="0"/>
          <w:numId w:val="11"/>
        </w:numPr>
        <w:kinsoku/>
        <w:wordWrap/>
        <w:overflowPunct/>
        <w:topLinePunct w:val="0"/>
        <w:autoSpaceDE/>
        <w:autoSpaceDN/>
        <w:bidi w:val="0"/>
        <w:adjustRightInd/>
        <w:snapToGrid/>
        <w:spacing w:before="0" w:after="0" w:line="240" w:lineRule="auto"/>
        <w:ind w:left="420" w:leftChars="0" w:hanging="420" w:firstLineChars="0"/>
        <w:textAlignment w:val="auto"/>
        <w:rPr>
          <w:rFonts w:hint="eastAsia" w:ascii="楷体_GB2312" w:hAnsi="楷体_GB2312" w:eastAsia="楷体_GB2312" w:cs="楷体_GB2312"/>
        </w:rPr>
      </w:pPr>
      <w:r>
        <w:rPr>
          <w:rFonts w:hint="eastAsia" w:ascii="楷体_GB2312" w:hAnsi="楷体_GB2312" w:eastAsia="楷体_GB2312" w:cs="楷体_GB2312"/>
        </w:rPr>
        <w:t>规范性引用文件</w:t>
      </w:r>
    </w:p>
    <w:p w14:paraId="1DDFA595">
      <w:pPr>
        <w:spacing w:line="360" w:lineRule="auto"/>
        <w:ind w:firstLine="480" w:firstLineChars="200"/>
        <w:rPr>
          <w:rFonts w:ascii="Times New Roman" w:hAnsi="Times New Roman"/>
          <w:sz w:val="24"/>
        </w:rPr>
      </w:pPr>
      <w:r>
        <w:rPr>
          <w:rFonts w:hint="eastAsia" w:ascii="Times New Roman" w:hAnsi="Times New Roman"/>
          <w:sz w:val="24"/>
        </w:rPr>
        <w:t>本</w:t>
      </w:r>
      <w:r>
        <w:rPr>
          <w:rFonts w:ascii="Times New Roman" w:hAnsi="Times New Roman"/>
          <w:sz w:val="24"/>
        </w:rPr>
        <w:t>次修订新增加了</w:t>
      </w:r>
      <w:r>
        <w:rPr>
          <w:rFonts w:hint="eastAsia" w:ascii="Times New Roman" w:hAnsi="Times New Roman"/>
          <w:sz w:val="24"/>
        </w:rPr>
        <w:t>2</w:t>
      </w:r>
      <w:r>
        <w:rPr>
          <w:rFonts w:ascii="Times New Roman" w:hAnsi="Times New Roman"/>
          <w:sz w:val="24"/>
        </w:rPr>
        <w:t>0个取水定额文件，修订了</w:t>
      </w:r>
      <w:r>
        <w:rPr>
          <w:rFonts w:hint="eastAsia" w:ascii="Times New Roman" w:hAnsi="Times New Roman"/>
          <w:sz w:val="24"/>
        </w:rPr>
        <w:t>2个规范</w:t>
      </w:r>
      <w:r>
        <w:rPr>
          <w:rFonts w:ascii="Times New Roman" w:hAnsi="Times New Roman"/>
          <w:sz w:val="24"/>
        </w:rPr>
        <w:t>性引用文件。</w:t>
      </w:r>
    </w:p>
    <w:p w14:paraId="5B66A68C">
      <w:pPr>
        <w:pStyle w:val="7"/>
        <w:keepNext/>
        <w:rPr>
          <w:rFonts w:ascii="Times New Roman" w:hAnsi="Times New Roman"/>
          <w:sz w:val="21"/>
          <w:szCs w:val="21"/>
        </w:rPr>
      </w:pPr>
      <w:r>
        <w:rPr>
          <w:rFonts w:ascii="Times New Roman" w:hAnsi="Times New Roman"/>
          <w:sz w:val="21"/>
          <w:szCs w:val="21"/>
        </w:rPr>
        <w:t xml:space="preserve">表 </w:t>
      </w:r>
      <w:r>
        <w:rPr>
          <w:rFonts w:hint="eastAsia" w:ascii="Times New Roman" w:hAnsi="Times New Roman"/>
          <w:sz w:val="21"/>
          <w:szCs w:val="21"/>
          <w:lang w:val="en-US" w:eastAsia="zh-CN"/>
        </w:rPr>
        <w:t>10</w:t>
      </w:r>
      <w:r>
        <w:rPr>
          <w:rFonts w:ascii="Times New Roman" w:hAnsi="Times New Roman"/>
          <w:sz w:val="21"/>
          <w:szCs w:val="21"/>
        </w:rPr>
        <w:t xml:space="preserve">                     </w:t>
      </w:r>
      <w:r>
        <w:rPr>
          <w:rFonts w:hint="eastAsia" w:ascii="Times New Roman" w:hAnsi="Times New Roman"/>
          <w:sz w:val="21"/>
          <w:szCs w:val="21"/>
        </w:rPr>
        <w:t>规范性引用文件修订情况表</w:t>
      </w:r>
    </w:p>
    <w:tbl>
      <w:tblPr>
        <w:tblStyle w:val="26"/>
        <w:tblW w:w="8854" w:type="dxa"/>
        <w:jc w:val="center"/>
        <w:tblLayout w:type="autofit"/>
        <w:tblCellMar>
          <w:top w:w="0" w:type="dxa"/>
          <w:left w:w="108" w:type="dxa"/>
          <w:bottom w:w="0" w:type="dxa"/>
          <w:right w:w="108" w:type="dxa"/>
        </w:tblCellMar>
      </w:tblPr>
      <w:tblGrid>
        <w:gridCol w:w="3468"/>
        <w:gridCol w:w="850"/>
        <w:gridCol w:w="3686"/>
        <w:gridCol w:w="850"/>
      </w:tblGrid>
      <w:tr w14:paraId="4520E5A8">
        <w:tblPrEx>
          <w:tblCellMar>
            <w:top w:w="0" w:type="dxa"/>
            <w:left w:w="108" w:type="dxa"/>
            <w:bottom w:w="0" w:type="dxa"/>
            <w:right w:w="108" w:type="dxa"/>
          </w:tblCellMar>
        </w:tblPrEx>
        <w:trPr>
          <w:trHeight w:val="260" w:hRule="atLeast"/>
          <w:jc w:val="center"/>
        </w:trPr>
        <w:tc>
          <w:tcPr>
            <w:tcW w:w="4318" w:type="dxa"/>
            <w:gridSpan w:val="2"/>
            <w:tcBorders>
              <w:top w:val="single" w:color="auto" w:sz="4" w:space="0"/>
              <w:left w:val="single" w:color="auto" w:sz="4" w:space="0"/>
              <w:bottom w:val="single" w:color="auto" w:sz="4" w:space="0"/>
              <w:right w:val="single" w:color="auto" w:sz="4" w:space="0"/>
            </w:tcBorders>
            <w:noWrap/>
            <w:vAlign w:val="bottom"/>
          </w:tcPr>
          <w:p w14:paraId="1DBFF5CC">
            <w:pPr>
              <w:widowControl/>
              <w:jc w:val="center"/>
              <w:rPr>
                <w:rFonts w:ascii="Times New Roman" w:hAnsi="Times New Roman"/>
                <w:b/>
                <w:bCs/>
                <w:color w:val="000000"/>
                <w:kern w:val="0"/>
                <w:szCs w:val="21"/>
              </w:rPr>
            </w:pPr>
            <w:r>
              <w:rPr>
                <w:rFonts w:ascii="Times New Roman" w:hAnsi="Times New Roman"/>
                <w:b/>
                <w:bCs/>
                <w:color w:val="000000"/>
                <w:kern w:val="0"/>
                <w:szCs w:val="21"/>
              </w:rPr>
              <w:t>原标准</w:t>
            </w:r>
          </w:p>
        </w:tc>
        <w:tc>
          <w:tcPr>
            <w:tcW w:w="4536" w:type="dxa"/>
            <w:gridSpan w:val="2"/>
            <w:tcBorders>
              <w:top w:val="single" w:color="auto" w:sz="4" w:space="0"/>
              <w:left w:val="nil"/>
              <w:bottom w:val="single" w:color="auto" w:sz="4" w:space="0"/>
              <w:right w:val="single" w:color="auto" w:sz="4" w:space="0"/>
            </w:tcBorders>
            <w:noWrap/>
            <w:vAlign w:val="bottom"/>
          </w:tcPr>
          <w:p w14:paraId="570EEB3A">
            <w:pPr>
              <w:widowControl/>
              <w:jc w:val="center"/>
              <w:rPr>
                <w:rFonts w:ascii="Times New Roman" w:hAnsi="Times New Roman"/>
                <w:b/>
                <w:bCs/>
                <w:color w:val="000000"/>
                <w:kern w:val="0"/>
                <w:szCs w:val="21"/>
              </w:rPr>
            </w:pPr>
            <w:r>
              <w:rPr>
                <w:rFonts w:ascii="Times New Roman" w:hAnsi="Times New Roman"/>
                <w:b/>
                <w:bCs/>
                <w:color w:val="000000"/>
                <w:kern w:val="0"/>
                <w:szCs w:val="21"/>
              </w:rPr>
              <w:t>修订后</w:t>
            </w:r>
          </w:p>
        </w:tc>
      </w:tr>
      <w:tr w14:paraId="3A6C6095">
        <w:tblPrEx>
          <w:tblCellMar>
            <w:top w:w="0" w:type="dxa"/>
            <w:left w:w="108" w:type="dxa"/>
            <w:bottom w:w="0" w:type="dxa"/>
            <w:right w:w="108" w:type="dxa"/>
          </w:tblCellMar>
        </w:tblPrEx>
        <w:trPr>
          <w:trHeight w:val="260" w:hRule="atLeast"/>
          <w:jc w:val="center"/>
        </w:trPr>
        <w:tc>
          <w:tcPr>
            <w:tcW w:w="3468" w:type="dxa"/>
            <w:tcBorders>
              <w:top w:val="nil"/>
              <w:left w:val="single" w:color="auto" w:sz="4" w:space="0"/>
              <w:bottom w:val="single" w:color="auto" w:sz="4" w:space="0"/>
              <w:right w:val="single" w:color="auto" w:sz="4" w:space="0"/>
            </w:tcBorders>
            <w:noWrap/>
            <w:vAlign w:val="bottom"/>
          </w:tcPr>
          <w:p w14:paraId="1C78D663">
            <w:pPr>
              <w:widowControl/>
              <w:jc w:val="center"/>
              <w:rPr>
                <w:rFonts w:ascii="Times New Roman" w:hAnsi="Times New Roman"/>
                <w:b/>
                <w:bCs/>
                <w:color w:val="000000"/>
                <w:kern w:val="0"/>
                <w:szCs w:val="21"/>
              </w:rPr>
            </w:pPr>
            <w:r>
              <w:rPr>
                <w:rFonts w:ascii="Times New Roman" w:hAnsi="Times New Roman"/>
                <w:b/>
                <w:bCs/>
                <w:color w:val="000000"/>
                <w:kern w:val="0"/>
                <w:szCs w:val="21"/>
              </w:rPr>
              <w:t>名称</w:t>
            </w:r>
          </w:p>
        </w:tc>
        <w:tc>
          <w:tcPr>
            <w:tcW w:w="850" w:type="dxa"/>
            <w:tcBorders>
              <w:top w:val="nil"/>
              <w:left w:val="nil"/>
              <w:bottom w:val="single" w:color="auto" w:sz="4" w:space="0"/>
              <w:right w:val="single" w:color="auto" w:sz="4" w:space="0"/>
            </w:tcBorders>
            <w:noWrap/>
            <w:vAlign w:val="bottom"/>
          </w:tcPr>
          <w:p w14:paraId="28B9CF96">
            <w:pPr>
              <w:widowControl/>
              <w:jc w:val="center"/>
              <w:rPr>
                <w:rFonts w:ascii="Times New Roman" w:hAnsi="Times New Roman"/>
                <w:b/>
                <w:bCs/>
                <w:color w:val="000000"/>
                <w:kern w:val="0"/>
                <w:szCs w:val="21"/>
              </w:rPr>
            </w:pPr>
            <w:r>
              <w:rPr>
                <w:rFonts w:ascii="Times New Roman" w:hAnsi="Times New Roman"/>
                <w:b/>
                <w:bCs/>
                <w:color w:val="000000"/>
                <w:kern w:val="0"/>
                <w:szCs w:val="21"/>
              </w:rPr>
              <w:t>备注</w:t>
            </w:r>
          </w:p>
        </w:tc>
        <w:tc>
          <w:tcPr>
            <w:tcW w:w="3686" w:type="dxa"/>
            <w:tcBorders>
              <w:top w:val="nil"/>
              <w:left w:val="nil"/>
              <w:bottom w:val="single" w:color="auto" w:sz="4" w:space="0"/>
              <w:right w:val="single" w:color="auto" w:sz="4" w:space="0"/>
            </w:tcBorders>
            <w:noWrap/>
            <w:vAlign w:val="bottom"/>
          </w:tcPr>
          <w:p w14:paraId="38F361D0">
            <w:pPr>
              <w:widowControl/>
              <w:jc w:val="center"/>
              <w:rPr>
                <w:rFonts w:ascii="Times New Roman" w:hAnsi="Times New Roman"/>
                <w:b/>
                <w:bCs/>
                <w:color w:val="000000"/>
                <w:kern w:val="0"/>
                <w:szCs w:val="21"/>
              </w:rPr>
            </w:pPr>
            <w:r>
              <w:rPr>
                <w:rFonts w:ascii="Times New Roman" w:hAnsi="Times New Roman"/>
                <w:b/>
                <w:bCs/>
                <w:color w:val="000000"/>
                <w:kern w:val="0"/>
                <w:szCs w:val="21"/>
              </w:rPr>
              <w:t>名称</w:t>
            </w:r>
          </w:p>
        </w:tc>
        <w:tc>
          <w:tcPr>
            <w:tcW w:w="850" w:type="dxa"/>
            <w:tcBorders>
              <w:top w:val="nil"/>
              <w:left w:val="nil"/>
              <w:bottom w:val="single" w:color="auto" w:sz="4" w:space="0"/>
              <w:right w:val="single" w:color="auto" w:sz="4" w:space="0"/>
            </w:tcBorders>
            <w:noWrap/>
            <w:vAlign w:val="bottom"/>
          </w:tcPr>
          <w:p w14:paraId="5C3A1B17">
            <w:pPr>
              <w:widowControl/>
              <w:jc w:val="center"/>
              <w:rPr>
                <w:rFonts w:ascii="Times New Roman" w:hAnsi="Times New Roman"/>
                <w:b/>
                <w:bCs/>
                <w:color w:val="000000"/>
                <w:kern w:val="0"/>
                <w:szCs w:val="21"/>
              </w:rPr>
            </w:pPr>
            <w:r>
              <w:rPr>
                <w:rFonts w:ascii="Times New Roman" w:hAnsi="Times New Roman"/>
                <w:b/>
                <w:bCs/>
                <w:color w:val="000000"/>
                <w:kern w:val="0"/>
                <w:szCs w:val="21"/>
              </w:rPr>
              <w:t>备注</w:t>
            </w:r>
          </w:p>
        </w:tc>
      </w:tr>
      <w:tr w14:paraId="42E3B883">
        <w:tblPrEx>
          <w:tblCellMar>
            <w:top w:w="0" w:type="dxa"/>
            <w:left w:w="108" w:type="dxa"/>
            <w:bottom w:w="0" w:type="dxa"/>
            <w:right w:w="108" w:type="dxa"/>
          </w:tblCellMar>
        </w:tblPrEx>
        <w:trPr>
          <w:trHeight w:val="260" w:hRule="atLeast"/>
          <w:jc w:val="center"/>
        </w:trPr>
        <w:tc>
          <w:tcPr>
            <w:tcW w:w="3468" w:type="dxa"/>
            <w:tcBorders>
              <w:top w:val="nil"/>
              <w:left w:val="single" w:color="auto" w:sz="4" w:space="0"/>
              <w:bottom w:val="single" w:color="auto" w:sz="4" w:space="0"/>
              <w:right w:val="single" w:color="auto" w:sz="4" w:space="0"/>
            </w:tcBorders>
            <w:noWrap/>
            <w:vAlign w:val="center"/>
          </w:tcPr>
          <w:p w14:paraId="768767A7">
            <w:pPr>
              <w:widowControl/>
              <w:rPr>
                <w:rFonts w:ascii="Times New Roman" w:hAnsi="Times New Roman"/>
                <w:color w:val="000000"/>
                <w:kern w:val="0"/>
                <w:szCs w:val="21"/>
              </w:rPr>
            </w:pPr>
            <w:r>
              <w:rPr>
                <w:rFonts w:ascii="Times New Roman" w:hAnsi="Times New Roman"/>
                <w:color w:val="000000"/>
                <w:kern w:val="0"/>
                <w:szCs w:val="21"/>
              </w:rPr>
              <w:t>GB/T 18916.1~.46 取水定额</w:t>
            </w:r>
          </w:p>
        </w:tc>
        <w:tc>
          <w:tcPr>
            <w:tcW w:w="850" w:type="dxa"/>
            <w:tcBorders>
              <w:top w:val="nil"/>
              <w:left w:val="nil"/>
              <w:bottom w:val="single" w:color="auto" w:sz="4" w:space="0"/>
              <w:right w:val="single" w:color="auto" w:sz="4" w:space="0"/>
            </w:tcBorders>
            <w:noWrap/>
            <w:vAlign w:val="center"/>
          </w:tcPr>
          <w:p w14:paraId="0AB34FB1">
            <w:pPr>
              <w:widowControl/>
              <w:jc w:val="center"/>
              <w:rPr>
                <w:rFonts w:ascii="Times New Roman" w:hAnsi="Times New Roman"/>
                <w:color w:val="000000"/>
                <w:kern w:val="0"/>
                <w:szCs w:val="21"/>
              </w:rPr>
            </w:pPr>
            <w:r>
              <w:rPr>
                <w:rFonts w:ascii="Times New Roman" w:hAnsi="Times New Roman"/>
                <w:color w:val="000000"/>
                <w:kern w:val="0"/>
                <w:szCs w:val="21"/>
              </w:rPr>
              <w:t>未修订</w:t>
            </w:r>
          </w:p>
        </w:tc>
        <w:tc>
          <w:tcPr>
            <w:tcW w:w="3686" w:type="dxa"/>
            <w:tcBorders>
              <w:top w:val="nil"/>
              <w:left w:val="nil"/>
              <w:bottom w:val="single" w:color="auto" w:sz="4" w:space="0"/>
              <w:right w:val="single" w:color="auto" w:sz="4" w:space="0"/>
            </w:tcBorders>
            <w:noWrap/>
            <w:vAlign w:val="center"/>
          </w:tcPr>
          <w:p w14:paraId="26B205D1">
            <w:pPr>
              <w:widowControl/>
              <w:rPr>
                <w:rFonts w:ascii="Times New Roman" w:hAnsi="Times New Roman"/>
                <w:color w:val="000000"/>
                <w:kern w:val="0"/>
                <w:szCs w:val="21"/>
              </w:rPr>
            </w:pPr>
            <w:r>
              <w:rPr>
                <w:rFonts w:ascii="Times New Roman" w:hAnsi="Times New Roman"/>
                <w:color w:val="000000"/>
                <w:kern w:val="0"/>
                <w:szCs w:val="21"/>
              </w:rPr>
              <w:t>GB/T 18916.1~.66 取水定额</w:t>
            </w:r>
          </w:p>
        </w:tc>
        <w:tc>
          <w:tcPr>
            <w:tcW w:w="850" w:type="dxa"/>
            <w:tcBorders>
              <w:top w:val="nil"/>
              <w:left w:val="nil"/>
              <w:bottom w:val="single" w:color="auto" w:sz="4" w:space="0"/>
              <w:right w:val="single" w:color="auto" w:sz="4" w:space="0"/>
            </w:tcBorders>
            <w:noWrap/>
            <w:vAlign w:val="center"/>
          </w:tcPr>
          <w:p w14:paraId="4C850DDC">
            <w:pPr>
              <w:widowControl/>
              <w:jc w:val="center"/>
              <w:rPr>
                <w:rFonts w:ascii="Times New Roman" w:hAnsi="Times New Roman"/>
                <w:color w:val="000000"/>
                <w:kern w:val="0"/>
                <w:szCs w:val="21"/>
              </w:rPr>
            </w:pPr>
            <w:r>
              <w:rPr>
                <w:rFonts w:ascii="Times New Roman" w:hAnsi="Times New Roman"/>
                <w:color w:val="000000"/>
                <w:kern w:val="0"/>
                <w:szCs w:val="21"/>
              </w:rPr>
              <w:t>增加20个</w:t>
            </w:r>
          </w:p>
        </w:tc>
      </w:tr>
      <w:tr w14:paraId="16D3C250">
        <w:tblPrEx>
          <w:tblCellMar>
            <w:top w:w="0" w:type="dxa"/>
            <w:left w:w="108" w:type="dxa"/>
            <w:bottom w:w="0" w:type="dxa"/>
            <w:right w:w="108" w:type="dxa"/>
          </w:tblCellMar>
        </w:tblPrEx>
        <w:trPr>
          <w:trHeight w:val="260" w:hRule="atLeast"/>
          <w:jc w:val="center"/>
        </w:trPr>
        <w:tc>
          <w:tcPr>
            <w:tcW w:w="3468" w:type="dxa"/>
            <w:tcBorders>
              <w:top w:val="nil"/>
              <w:left w:val="single" w:color="auto" w:sz="4" w:space="0"/>
              <w:bottom w:val="single" w:color="auto" w:sz="4" w:space="0"/>
              <w:right w:val="single" w:color="auto" w:sz="4" w:space="0"/>
            </w:tcBorders>
            <w:noWrap/>
            <w:vAlign w:val="center"/>
          </w:tcPr>
          <w:p w14:paraId="2DA6BE92">
            <w:pPr>
              <w:widowControl/>
              <w:rPr>
                <w:rFonts w:ascii="Times New Roman" w:hAnsi="Times New Roman"/>
                <w:color w:val="000000"/>
                <w:kern w:val="0"/>
                <w:szCs w:val="21"/>
              </w:rPr>
            </w:pPr>
            <w:r>
              <w:rPr>
                <w:rFonts w:ascii="Times New Roman" w:hAnsi="Times New Roman"/>
                <w:color w:val="000000"/>
                <w:kern w:val="0"/>
                <w:szCs w:val="21"/>
              </w:rPr>
              <w:tab/>
            </w:r>
            <w:r>
              <w:rPr>
                <w:rFonts w:hint="eastAsia" w:ascii="Times New Roman" w:hAnsi="Times New Roman"/>
                <w:color w:val="000000"/>
                <w:kern w:val="0"/>
                <w:szCs w:val="21"/>
              </w:rPr>
              <w:t>《工业用水定额编制通则》（</w:t>
            </w:r>
            <w:r>
              <w:rPr>
                <w:rFonts w:ascii="Times New Roman" w:hAnsi="Times New Roman"/>
                <w:color w:val="000000"/>
                <w:kern w:val="0"/>
                <w:szCs w:val="21"/>
              </w:rPr>
              <w:t>GB/T 18820-2011</w:t>
            </w:r>
            <w:r>
              <w:rPr>
                <w:rFonts w:hint="eastAsia" w:ascii="Times New Roman" w:hAnsi="Times New Roman"/>
                <w:color w:val="000000"/>
                <w:kern w:val="0"/>
                <w:szCs w:val="21"/>
              </w:rPr>
              <w:t>）</w:t>
            </w:r>
          </w:p>
        </w:tc>
        <w:tc>
          <w:tcPr>
            <w:tcW w:w="850" w:type="dxa"/>
            <w:tcBorders>
              <w:top w:val="single" w:color="auto" w:sz="4" w:space="0"/>
              <w:left w:val="nil"/>
              <w:bottom w:val="single" w:color="auto" w:sz="4" w:space="0"/>
              <w:right w:val="single" w:color="auto" w:sz="4" w:space="0"/>
            </w:tcBorders>
            <w:noWrap/>
            <w:vAlign w:val="center"/>
          </w:tcPr>
          <w:p w14:paraId="43183BDE">
            <w:pPr>
              <w:widowControl/>
              <w:jc w:val="center"/>
              <w:rPr>
                <w:rFonts w:ascii="Times New Roman" w:hAnsi="Times New Roman"/>
                <w:color w:val="000000"/>
                <w:kern w:val="0"/>
                <w:szCs w:val="21"/>
              </w:rPr>
            </w:pPr>
            <w:r>
              <w:rPr>
                <w:rFonts w:ascii="Times New Roman" w:hAnsi="Times New Roman"/>
                <w:color w:val="000000"/>
                <w:kern w:val="0"/>
                <w:szCs w:val="21"/>
              </w:rPr>
              <w:t>删除</w:t>
            </w:r>
          </w:p>
        </w:tc>
        <w:tc>
          <w:tcPr>
            <w:tcW w:w="3686" w:type="dxa"/>
            <w:tcBorders>
              <w:top w:val="nil"/>
              <w:left w:val="nil"/>
              <w:bottom w:val="single" w:color="auto" w:sz="4" w:space="0"/>
              <w:right w:val="single" w:color="auto" w:sz="4" w:space="0"/>
            </w:tcBorders>
            <w:noWrap/>
            <w:vAlign w:val="center"/>
          </w:tcPr>
          <w:p w14:paraId="1C9AD4B0">
            <w:pPr>
              <w:widowControl/>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ab/>
            </w:r>
            <w:r>
              <w:rPr>
                <w:rFonts w:hint="eastAsia" w:ascii="Times New Roman" w:hAnsi="Times New Roman"/>
                <w:color w:val="000000"/>
                <w:kern w:val="0"/>
                <w:szCs w:val="21"/>
              </w:rPr>
              <w:t>《工业用水定额编制通则》（</w:t>
            </w:r>
            <w:r>
              <w:rPr>
                <w:rFonts w:ascii="Times New Roman" w:hAnsi="Times New Roman"/>
                <w:color w:val="000000"/>
                <w:kern w:val="0"/>
                <w:szCs w:val="21"/>
              </w:rPr>
              <w:t>GB/T 18820-2023</w:t>
            </w:r>
            <w:r>
              <w:rPr>
                <w:rFonts w:hint="eastAsia" w:ascii="Times New Roman" w:hAnsi="Times New Roman"/>
                <w:color w:val="000000"/>
                <w:kern w:val="0"/>
                <w:szCs w:val="21"/>
              </w:rPr>
              <w:t>）</w:t>
            </w:r>
          </w:p>
        </w:tc>
        <w:tc>
          <w:tcPr>
            <w:tcW w:w="850" w:type="dxa"/>
            <w:tcBorders>
              <w:top w:val="nil"/>
              <w:left w:val="nil"/>
              <w:bottom w:val="single" w:color="auto" w:sz="4" w:space="0"/>
              <w:right w:val="single" w:color="auto" w:sz="4" w:space="0"/>
            </w:tcBorders>
            <w:noWrap/>
            <w:vAlign w:val="center"/>
          </w:tcPr>
          <w:p w14:paraId="65C0D4FD">
            <w:pPr>
              <w:widowControl/>
              <w:jc w:val="center"/>
              <w:rPr>
                <w:rFonts w:ascii="Times New Roman" w:hAnsi="Times New Roman"/>
                <w:color w:val="000000"/>
                <w:kern w:val="0"/>
                <w:szCs w:val="21"/>
              </w:rPr>
            </w:pPr>
            <w:r>
              <w:rPr>
                <w:rFonts w:ascii="Times New Roman" w:hAnsi="Times New Roman"/>
                <w:color w:val="000000"/>
                <w:kern w:val="0"/>
                <w:szCs w:val="21"/>
              </w:rPr>
              <w:t>修订</w:t>
            </w:r>
          </w:p>
        </w:tc>
      </w:tr>
      <w:tr w14:paraId="32388A0F">
        <w:tblPrEx>
          <w:tblCellMar>
            <w:top w:w="0" w:type="dxa"/>
            <w:left w:w="108" w:type="dxa"/>
            <w:bottom w:w="0" w:type="dxa"/>
            <w:right w:w="108" w:type="dxa"/>
          </w:tblCellMar>
        </w:tblPrEx>
        <w:trPr>
          <w:trHeight w:val="260" w:hRule="atLeast"/>
          <w:jc w:val="center"/>
        </w:trPr>
        <w:tc>
          <w:tcPr>
            <w:tcW w:w="3468" w:type="dxa"/>
            <w:tcBorders>
              <w:top w:val="nil"/>
              <w:left w:val="single" w:color="auto" w:sz="4" w:space="0"/>
              <w:bottom w:val="single" w:color="auto" w:sz="4" w:space="0"/>
              <w:right w:val="single" w:color="auto" w:sz="4" w:space="0"/>
            </w:tcBorders>
            <w:noWrap/>
            <w:vAlign w:val="center"/>
          </w:tcPr>
          <w:p w14:paraId="4D100056">
            <w:pPr>
              <w:widowControl/>
              <w:rPr>
                <w:rFonts w:ascii="Times New Roman" w:hAnsi="Times New Roman"/>
                <w:color w:val="000000"/>
                <w:kern w:val="0"/>
                <w:szCs w:val="21"/>
              </w:rPr>
            </w:pPr>
            <w:r>
              <w:rPr>
                <w:rFonts w:hint="eastAsia" w:ascii="Times New Roman" w:hAnsi="Times New Roman"/>
                <w:color w:val="000000"/>
                <w:kern w:val="0"/>
                <w:szCs w:val="21"/>
              </w:rPr>
              <w:t>《企业水平衡测试通则》（GB/T 12452-2008）</w:t>
            </w:r>
          </w:p>
        </w:tc>
        <w:tc>
          <w:tcPr>
            <w:tcW w:w="850" w:type="dxa"/>
            <w:tcBorders>
              <w:top w:val="nil"/>
              <w:left w:val="nil"/>
              <w:bottom w:val="single" w:color="auto" w:sz="4" w:space="0"/>
              <w:right w:val="single" w:color="auto" w:sz="4" w:space="0"/>
            </w:tcBorders>
            <w:noWrap/>
            <w:vAlign w:val="center"/>
          </w:tcPr>
          <w:p w14:paraId="6D09AEB0">
            <w:pPr>
              <w:widowControl/>
              <w:jc w:val="center"/>
              <w:rPr>
                <w:rFonts w:ascii="Times New Roman" w:hAnsi="Times New Roman"/>
                <w:color w:val="000000"/>
                <w:kern w:val="0"/>
                <w:szCs w:val="21"/>
              </w:rPr>
            </w:pPr>
            <w:r>
              <w:rPr>
                <w:rFonts w:ascii="Times New Roman" w:hAnsi="Times New Roman"/>
                <w:color w:val="000000"/>
                <w:kern w:val="0"/>
                <w:szCs w:val="21"/>
              </w:rPr>
              <w:t>删除</w:t>
            </w:r>
          </w:p>
        </w:tc>
        <w:tc>
          <w:tcPr>
            <w:tcW w:w="3686" w:type="dxa"/>
            <w:tcBorders>
              <w:top w:val="nil"/>
              <w:left w:val="nil"/>
              <w:bottom w:val="single" w:color="auto" w:sz="4" w:space="0"/>
              <w:right w:val="single" w:color="auto" w:sz="4" w:space="0"/>
            </w:tcBorders>
            <w:noWrap/>
            <w:vAlign w:val="center"/>
          </w:tcPr>
          <w:p w14:paraId="1A986582">
            <w:pPr>
              <w:widowControl/>
              <w:rPr>
                <w:rFonts w:ascii="Times New Roman" w:hAnsi="Times New Roman"/>
                <w:color w:val="000000"/>
                <w:kern w:val="0"/>
                <w:szCs w:val="21"/>
              </w:rPr>
            </w:pPr>
            <w:r>
              <w:rPr>
                <w:rFonts w:ascii="Times New Roman" w:hAnsi="Times New Roman"/>
                <w:color w:val="000000"/>
                <w:kern w:val="0"/>
                <w:szCs w:val="21"/>
              </w:rPr>
              <w:t>《水平衡测试通则》（GB/T 12452-2022）</w:t>
            </w:r>
          </w:p>
        </w:tc>
        <w:tc>
          <w:tcPr>
            <w:tcW w:w="850" w:type="dxa"/>
            <w:tcBorders>
              <w:top w:val="nil"/>
              <w:left w:val="nil"/>
              <w:bottom w:val="single" w:color="auto" w:sz="4" w:space="0"/>
              <w:right w:val="single" w:color="auto" w:sz="4" w:space="0"/>
            </w:tcBorders>
            <w:noWrap/>
            <w:vAlign w:val="center"/>
          </w:tcPr>
          <w:p w14:paraId="415BA33C">
            <w:pPr>
              <w:widowControl/>
              <w:jc w:val="center"/>
              <w:rPr>
                <w:rFonts w:ascii="Times New Roman" w:hAnsi="Times New Roman"/>
                <w:color w:val="000000"/>
                <w:kern w:val="0"/>
                <w:szCs w:val="21"/>
              </w:rPr>
            </w:pPr>
            <w:r>
              <w:rPr>
                <w:rFonts w:ascii="Times New Roman" w:hAnsi="Times New Roman"/>
                <w:color w:val="000000"/>
                <w:kern w:val="0"/>
                <w:szCs w:val="21"/>
              </w:rPr>
              <w:t>修订</w:t>
            </w:r>
          </w:p>
        </w:tc>
      </w:tr>
    </w:tbl>
    <w:p w14:paraId="797FF014"/>
    <w:p w14:paraId="2BAAA94E">
      <w:pPr>
        <w:pStyle w:val="2"/>
        <w:keepNext/>
        <w:keepLines/>
        <w:pageBreakBefore w:val="0"/>
        <w:widowControl w:val="0"/>
        <w:numPr>
          <w:ilvl w:val="0"/>
          <w:numId w:val="11"/>
        </w:numPr>
        <w:kinsoku/>
        <w:wordWrap/>
        <w:overflowPunct/>
        <w:topLinePunct w:val="0"/>
        <w:autoSpaceDE/>
        <w:autoSpaceDN/>
        <w:bidi w:val="0"/>
        <w:adjustRightInd/>
        <w:snapToGrid/>
        <w:spacing w:before="0" w:after="0" w:line="240" w:lineRule="auto"/>
        <w:ind w:left="420" w:leftChars="0" w:hanging="420" w:firstLineChars="0"/>
        <w:textAlignment w:val="auto"/>
        <w:rPr>
          <w:rFonts w:hint="eastAsia" w:ascii="楷体_GB2312" w:hAnsi="楷体_GB2312" w:eastAsia="楷体_GB2312" w:cs="楷体_GB2312"/>
        </w:rPr>
      </w:pPr>
      <w:r>
        <w:rPr>
          <w:rFonts w:hint="eastAsia" w:ascii="楷体_GB2312" w:hAnsi="楷体_GB2312" w:eastAsia="楷体_GB2312" w:cs="楷体_GB2312"/>
        </w:rPr>
        <w:t>术语和定义</w:t>
      </w:r>
    </w:p>
    <w:p w14:paraId="4AD16C6E">
      <w:pPr>
        <w:spacing w:line="360" w:lineRule="auto"/>
        <w:ind w:firstLine="480" w:firstLineChars="200"/>
        <w:rPr>
          <w:rFonts w:ascii="Times New Roman" w:hAnsi="Times New Roman"/>
          <w:sz w:val="24"/>
        </w:rPr>
      </w:pPr>
      <w:r>
        <w:rPr>
          <w:rFonts w:hint="eastAsia" w:ascii="Times New Roman" w:hAnsi="Times New Roman"/>
          <w:sz w:val="24"/>
        </w:rPr>
        <w:t>本次对工业的术语和定义进行了修订。</w:t>
      </w:r>
      <w:bookmarkStart w:id="21" w:name="_GoBack"/>
      <w:bookmarkEnd w:id="21"/>
    </w:p>
    <w:p w14:paraId="69A854B9">
      <w:pPr>
        <w:pStyle w:val="2"/>
        <w:keepNext/>
        <w:keepLines/>
        <w:pageBreakBefore w:val="0"/>
        <w:widowControl w:val="0"/>
        <w:numPr>
          <w:ilvl w:val="0"/>
          <w:numId w:val="11"/>
        </w:numPr>
        <w:kinsoku/>
        <w:wordWrap/>
        <w:overflowPunct/>
        <w:topLinePunct w:val="0"/>
        <w:autoSpaceDE/>
        <w:autoSpaceDN/>
        <w:bidi w:val="0"/>
        <w:adjustRightInd/>
        <w:snapToGrid/>
        <w:spacing w:before="0" w:after="0" w:line="240" w:lineRule="auto"/>
        <w:ind w:left="420" w:leftChars="0" w:hanging="420" w:firstLineChars="0"/>
        <w:textAlignment w:val="auto"/>
        <w:rPr>
          <w:rFonts w:hint="eastAsia" w:ascii="楷体_GB2312" w:hAnsi="楷体_GB2312" w:eastAsia="楷体_GB2312" w:cs="楷体_GB2312"/>
        </w:rPr>
      </w:pPr>
      <w:r>
        <w:rPr>
          <w:rFonts w:hint="eastAsia" w:ascii="楷体_GB2312" w:hAnsi="楷体_GB2312" w:eastAsia="楷体_GB2312" w:cs="楷体_GB2312"/>
        </w:rPr>
        <w:t>用水定额</w:t>
      </w:r>
    </w:p>
    <w:p w14:paraId="7D7E52CC">
      <w:pPr>
        <w:spacing w:line="360" w:lineRule="auto"/>
        <w:ind w:firstLine="480" w:firstLineChars="200"/>
        <w:rPr>
          <w:rFonts w:ascii="Times New Roman" w:hAnsi="Times New Roman"/>
          <w:sz w:val="24"/>
        </w:rPr>
      </w:pPr>
      <w:r>
        <w:rPr>
          <w:rFonts w:hint="eastAsia" w:ascii="Times New Roman" w:hAnsi="Times New Roman"/>
          <w:sz w:val="24"/>
        </w:rPr>
        <w:t>为了提高定额科学性及合理性，本次在定额修订过程中共采用了13种方法，每个定额均采用3种及以上的方法相互验证。</w:t>
      </w:r>
    </w:p>
    <w:p w14:paraId="2EA78523">
      <w:pPr>
        <w:spacing w:line="360" w:lineRule="auto"/>
        <w:ind w:firstLine="480" w:firstLineChars="200"/>
        <w:rPr>
          <w:rFonts w:ascii="Times New Roman" w:hAnsi="Times New Roman"/>
          <w:sz w:val="24"/>
        </w:rPr>
      </w:pPr>
      <w:r>
        <w:rPr>
          <w:rFonts w:hint="eastAsia" w:ascii="Times New Roman" w:hAnsi="Times New Roman"/>
          <w:sz w:val="24"/>
        </w:rPr>
        <w:t>原</w:t>
      </w:r>
      <w:r>
        <w:rPr>
          <w:rFonts w:ascii="Times New Roman" w:hAnsi="Times New Roman"/>
          <w:sz w:val="24"/>
        </w:rPr>
        <w:t>标准中共包括840</w:t>
      </w:r>
      <w:r>
        <w:rPr>
          <w:rFonts w:hint="eastAsia" w:ascii="Times New Roman" w:hAnsi="Times New Roman"/>
          <w:sz w:val="24"/>
        </w:rPr>
        <w:t>种</w:t>
      </w:r>
      <w:r>
        <w:rPr>
          <w:rFonts w:ascii="Times New Roman" w:hAnsi="Times New Roman"/>
          <w:sz w:val="24"/>
        </w:rPr>
        <w:t>产品</w:t>
      </w:r>
      <w:r>
        <w:rPr>
          <w:rFonts w:hint="eastAsia" w:ascii="Times New Roman" w:hAnsi="Times New Roman"/>
          <w:sz w:val="24"/>
        </w:rPr>
        <w:t>（农作物</w:t>
      </w:r>
      <w:r>
        <w:rPr>
          <w:rFonts w:ascii="Times New Roman" w:hAnsi="Times New Roman"/>
          <w:sz w:val="24"/>
        </w:rPr>
        <w:t>、动物、类别）5919</w:t>
      </w:r>
      <w:r>
        <w:rPr>
          <w:rFonts w:hint="eastAsia" w:ascii="Times New Roman" w:hAnsi="Times New Roman"/>
          <w:sz w:val="24"/>
        </w:rPr>
        <w:t>个</w:t>
      </w:r>
      <w:r>
        <w:rPr>
          <w:rFonts w:ascii="Times New Roman" w:hAnsi="Times New Roman"/>
          <w:sz w:val="24"/>
        </w:rPr>
        <w:t>定额，</w:t>
      </w:r>
      <w:r>
        <w:rPr>
          <w:rFonts w:hint="eastAsia" w:ascii="Times New Roman" w:hAnsi="Times New Roman"/>
          <w:sz w:val="24"/>
        </w:rPr>
        <w:t>本</w:t>
      </w:r>
      <w:r>
        <w:rPr>
          <w:rFonts w:ascii="Times New Roman" w:hAnsi="Times New Roman"/>
          <w:sz w:val="24"/>
        </w:rPr>
        <w:t>次核</w:t>
      </w:r>
      <w:r>
        <w:rPr>
          <w:rFonts w:hint="eastAsia" w:ascii="Times New Roman" w:hAnsi="Times New Roman"/>
          <w:sz w:val="24"/>
        </w:rPr>
        <w:t>减（删除</w:t>
      </w:r>
      <w:r>
        <w:rPr>
          <w:rFonts w:ascii="Times New Roman" w:hAnsi="Times New Roman"/>
          <w:sz w:val="24"/>
        </w:rPr>
        <w:t>、并入、分解）了13</w:t>
      </w:r>
      <w:r>
        <w:rPr>
          <w:rFonts w:hint="eastAsia" w:ascii="Times New Roman" w:hAnsi="Times New Roman"/>
          <w:sz w:val="24"/>
        </w:rPr>
        <w:t>种</w:t>
      </w:r>
      <w:r>
        <w:rPr>
          <w:rFonts w:ascii="Times New Roman" w:hAnsi="Times New Roman"/>
          <w:sz w:val="24"/>
        </w:rPr>
        <w:t>产品</w:t>
      </w:r>
      <w:r>
        <w:rPr>
          <w:rFonts w:hint="eastAsia" w:ascii="Times New Roman" w:hAnsi="Times New Roman"/>
          <w:sz w:val="24"/>
        </w:rPr>
        <w:t>名称</w:t>
      </w:r>
      <w:r>
        <w:rPr>
          <w:rFonts w:ascii="Times New Roman" w:hAnsi="Times New Roman"/>
          <w:sz w:val="24"/>
        </w:rPr>
        <w:t>、</w:t>
      </w:r>
      <w:r>
        <w:rPr>
          <w:rFonts w:hint="eastAsia" w:ascii="Times New Roman" w:hAnsi="Times New Roman"/>
          <w:sz w:val="24"/>
        </w:rPr>
        <w:t>新</w:t>
      </w:r>
      <w:r>
        <w:rPr>
          <w:rFonts w:ascii="Times New Roman" w:hAnsi="Times New Roman"/>
          <w:sz w:val="24"/>
        </w:rPr>
        <w:t>增加64</w:t>
      </w:r>
      <w:r>
        <w:rPr>
          <w:rFonts w:hint="eastAsia" w:ascii="Times New Roman" w:hAnsi="Times New Roman"/>
          <w:sz w:val="24"/>
        </w:rPr>
        <w:t>种</w:t>
      </w:r>
      <w:r>
        <w:rPr>
          <w:rFonts w:ascii="Times New Roman" w:hAnsi="Times New Roman"/>
          <w:sz w:val="24"/>
        </w:rPr>
        <w:t>产品</w:t>
      </w:r>
      <w:r>
        <w:rPr>
          <w:rFonts w:hint="eastAsia" w:ascii="Times New Roman" w:hAnsi="Times New Roman"/>
          <w:sz w:val="24"/>
        </w:rPr>
        <w:t>，</w:t>
      </w:r>
      <w:r>
        <w:rPr>
          <w:rFonts w:ascii="Times New Roman" w:hAnsi="Times New Roman"/>
          <w:sz w:val="24"/>
        </w:rPr>
        <w:t>对原</w:t>
      </w:r>
      <w:r>
        <w:rPr>
          <w:rFonts w:hint="eastAsia" w:ascii="Times New Roman" w:hAnsi="Times New Roman"/>
          <w:sz w:val="24"/>
        </w:rPr>
        <w:t>标准</w:t>
      </w:r>
      <w:r>
        <w:rPr>
          <w:rFonts w:ascii="Times New Roman" w:hAnsi="Times New Roman"/>
          <w:sz w:val="24"/>
        </w:rPr>
        <w:t>中定额全部进行了修订，修订后共有892</w:t>
      </w:r>
      <w:r>
        <w:rPr>
          <w:rFonts w:hint="eastAsia" w:ascii="Times New Roman" w:hAnsi="Times New Roman"/>
          <w:sz w:val="24"/>
        </w:rPr>
        <w:t>种</w:t>
      </w:r>
      <w:r>
        <w:rPr>
          <w:rFonts w:ascii="Times New Roman" w:hAnsi="Times New Roman"/>
          <w:sz w:val="24"/>
        </w:rPr>
        <w:t>产品</w:t>
      </w:r>
      <w:r>
        <w:rPr>
          <w:rFonts w:hint="eastAsia" w:ascii="Times New Roman" w:hAnsi="Times New Roman"/>
          <w:sz w:val="24"/>
        </w:rPr>
        <w:t>（农作物</w:t>
      </w:r>
      <w:r>
        <w:rPr>
          <w:rFonts w:ascii="Times New Roman" w:hAnsi="Times New Roman"/>
          <w:sz w:val="24"/>
        </w:rPr>
        <w:t>、动物、类别）5224</w:t>
      </w:r>
      <w:r>
        <w:rPr>
          <w:rFonts w:hint="eastAsia" w:ascii="Times New Roman" w:hAnsi="Times New Roman"/>
          <w:sz w:val="24"/>
        </w:rPr>
        <w:t>个</w:t>
      </w:r>
      <w:r>
        <w:rPr>
          <w:rFonts w:ascii="Times New Roman" w:hAnsi="Times New Roman"/>
          <w:sz w:val="24"/>
        </w:rPr>
        <w:t>定额</w:t>
      </w:r>
      <w:r>
        <w:rPr>
          <w:rFonts w:hint="eastAsia" w:ascii="Times New Roman" w:hAnsi="Times New Roman"/>
          <w:sz w:val="24"/>
        </w:rPr>
        <w:t>。</w:t>
      </w:r>
    </w:p>
    <w:p w14:paraId="1C913F50">
      <w:pPr>
        <w:pStyle w:val="7"/>
        <w:keepNext/>
        <w:rPr>
          <w:rFonts w:ascii="Times New Roman" w:hAnsi="Times New Roman"/>
          <w:sz w:val="24"/>
        </w:rPr>
      </w:pPr>
      <w:r>
        <w:rPr>
          <w:rFonts w:ascii="Times New Roman" w:hAnsi="Times New Roman"/>
          <w:sz w:val="21"/>
          <w:szCs w:val="21"/>
        </w:rPr>
        <w:t xml:space="preserve">表 </w:t>
      </w:r>
      <w:r>
        <w:rPr>
          <w:rFonts w:hint="eastAsia" w:ascii="Times New Roman" w:hAnsi="Times New Roman"/>
          <w:sz w:val="21"/>
          <w:szCs w:val="21"/>
          <w:lang w:val="en-US" w:eastAsia="zh-CN"/>
        </w:rPr>
        <w:t>11</w:t>
      </w:r>
      <w:r>
        <w:rPr>
          <w:rFonts w:ascii="Times New Roman" w:hAnsi="Times New Roman"/>
          <w:sz w:val="21"/>
          <w:szCs w:val="21"/>
        </w:rPr>
        <w:t xml:space="preserve">                        </w:t>
      </w:r>
      <w:r>
        <w:rPr>
          <w:rFonts w:hint="eastAsia" w:ascii="Times New Roman" w:hAnsi="Times New Roman"/>
          <w:sz w:val="21"/>
          <w:szCs w:val="21"/>
        </w:rPr>
        <w:t>用水</w:t>
      </w:r>
      <w:r>
        <w:rPr>
          <w:rFonts w:ascii="Times New Roman" w:hAnsi="Times New Roman"/>
          <w:sz w:val="21"/>
          <w:szCs w:val="21"/>
        </w:rPr>
        <w:t>定额</w:t>
      </w:r>
      <w:r>
        <w:rPr>
          <w:rFonts w:hint="eastAsia" w:ascii="Times New Roman" w:hAnsi="Times New Roman"/>
          <w:sz w:val="21"/>
          <w:szCs w:val="21"/>
        </w:rPr>
        <w:t>修订情况表</w:t>
      </w:r>
    </w:p>
    <w:tbl>
      <w:tblPr>
        <w:tblStyle w:val="26"/>
        <w:tblW w:w="8471" w:type="dxa"/>
        <w:tblInd w:w="108" w:type="dxa"/>
        <w:tblLayout w:type="autofit"/>
        <w:tblCellMar>
          <w:top w:w="0" w:type="dxa"/>
          <w:left w:w="108" w:type="dxa"/>
          <w:bottom w:w="0" w:type="dxa"/>
          <w:right w:w="108" w:type="dxa"/>
        </w:tblCellMar>
      </w:tblPr>
      <w:tblGrid>
        <w:gridCol w:w="567"/>
        <w:gridCol w:w="567"/>
        <w:gridCol w:w="2127"/>
        <w:gridCol w:w="708"/>
        <w:gridCol w:w="696"/>
        <w:gridCol w:w="721"/>
        <w:gridCol w:w="851"/>
        <w:gridCol w:w="847"/>
        <w:gridCol w:w="691"/>
        <w:gridCol w:w="696"/>
      </w:tblGrid>
      <w:tr w14:paraId="1F29F336">
        <w:tblPrEx>
          <w:tblCellMar>
            <w:top w:w="0" w:type="dxa"/>
            <w:left w:w="108" w:type="dxa"/>
            <w:bottom w:w="0" w:type="dxa"/>
            <w:right w:w="108" w:type="dxa"/>
          </w:tblCellMar>
        </w:tblPrEx>
        <w:trPr>
          <w:trHeight w:val="285" w:hRule="atLeast"/>
        </w:trPr>
        <w:tc>
          <w:tcPr>
            <w:tcW w:w="567" w:type="dxa"/>
            <w:vMerge w:val="restart"/>
            <w:tcBorders>
              <w:top w:val="single" w:color="auto" w:sz="4" w:space="0"/>
              <w:left w:val="single" w:color="auto" w:sz="4" w:space="0"/>
              <w:bottom w:val="single" w:color="000000" w:sz="4" w:space="0"/>
              <w:right w:val="single" w:color="auto" w:sz="4" w:space="0"/>
            </w:tcBorders>
            <w:noWrap/>
            <w:vAlign w:val="center"/>
          </w:tcPr>
          <w:p w14:paraId="37F3063E">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567" w:type="dxa"/>
            <w:vMerge w:val="restart"/>
            <w:tcBorders>
              <w:top w:val="single" w:color="auto" w:sz="4" w:space="0"/>
              <w:left w:val="single" w:color="auto" w:sz="4" w:space="0"/>
              <w:bottom w:val="single" w:color="000000" w:sz="4" w:space="0"/>
              <w:right w:val="single" w:color="auto" w:sz="4" w:space="0"/>
            </w:tcBorders>
            <w:noWrap/>
            <w:vAlign w:val="center"/>
          </w:tcPr>
          <w:p w14:paraId="13FF4E30">
            <w:pPr>
              <w:widowControl/>
              <w:jc w:val="center"/>
              <w:rPr>
                <w:rFonts w:ascii="宋体" w:hAnsi="宋体" w:cs="宋体"/>
                <w:color w:val="000000"/>
                <w:kern w:val="0"/>
                <w:szCs w:val="21"/>
              </w:rPr>
            </w:pPr>
            <w:r>
              <w:rPr>
                <w:rFonts w:hint="eastAsia" w:ascii="宋体" w:hAnsi="宋体" w:cs="宋体"/>
                <w:color w:val="000000"/>
                <w:kern w:val="0"/>
                <w:szCs w:val="21"/>
              </w:rPr>
              <w:t>代码</w:t>
            </w:r>
          </w:p>
        </w:tc>
        <w:tc>
          <w:tcPr>
            <w:tcW w:w="2127" w:type="dxa"/>
            <w:vMerge w:val="restart"/>
            <w:tcBorders>
              <w:top w:val="single" w:color="auto" w:sz="4" w:space="0"/>
              <w:left w:val="single" w:color="auto" w:sz="4" w:space="0"/>
              <w:bottom w:val="single" w:color="000000" w:sz="4" w:space="0"/>
              <w:right w:val="single" w:color="auto" w:sz="4" w:space="0"/>
            </w:tcBorders>
            <w:noWrap/>
            <w:vAlign w:val="center"/>
          </w:tcPr>
          <w:p w14:paraId="44C2EEBC">
            <w:pPr>
              <w:widowControl/>
              <w:jc w:val="center"/>
              <w:rPr>
                <w:rFonts w:ascii="宋体" w:hAnsi="宋体" w:cs="宋体"/>
                <w:color w:val="000000"/>
                <w:kern w:val="0"/>
                <w:szCs w:val="21"/>
              </w:rPr>
            </w:pPr>
            <w:r>
              <w:rPr>
                <w:rFonts w:hint="eastAsia" w:ascii="宋体" w:hAnsi="宋体" w:cs="宋体"/>
                <w:color w:val="000000"/>
                <w:kern w:val="0"/>
                <w:szCs w:val="21"/>
              </w:rPr>
              <w:t>门类</w:t>
            </w:r>
          </w:p>
        </w:tc>
        <w:tc>
          <w:tcPr>
            <w:tcW w:w="1404" w:type="dxa"/>
            <w:gridSpan w:val="2"/>
            <w:tcBorders>
              <w:top w:val="single" w:color="auto" w:sz="4" w:space="0"/>
              <w:left w:val="nil"/>
              <w:bottom w:val="single" w:color="auto" w:sz="4" w:space="0"/>
              <w:right w:val="single" w:color="auto" w:sz="4" w:space="0"/>
            </w:tcBorders>
            <w:noWrap/>
            <w:vAlign w:val="bottom"/>
          </w:tcPr>
          <w:p w14:paraId="3DAAC574">
            <w:pPr>
              <w:widowControl/>
              <w:jc w:val="center"/>
              <w:rPr>
                <w:rFonts w:ascii="宋体" w:hAnsi="宋体" w:cs="宋体"/>
                <w:color w:val="000000"/>
                <w:kern w:val="0"/>
                <w:szCs w:val="21"/>
              </w:rPr>
            </w:pPr>
            <w:r>
              <w:rPr>
                <w:rFonts w:hint="eastAsia" w:ascii="宋体" w:hAnsi="宋体" w:cs="宋体"/>
                <w:color w:val="000000"/>
                <w:kern w:val="0"/>
                <w:szCs w:val="21"/>
              </w:rPr>
              <w:t>原标准</w:t>
            </w:r>
          </w:p>
        </w:tc>
        <w:tc>
          <w:tcPr>
            <w:tcW w:w="721" w:type="dxa"/>
            <w:vMerge w:val="restart"/>
            <w:tcBorders>
              <w:top w:val="single" w:color="auto" w:sz="4" w:space="0"/>
              <w:left w:val="single" w:color="auto" w:sz="4" w:space="0"/>
              <w:bottom w:val="single" w:color="000000" w:sz="4" w:space="0"/>
              <w:right w:val="single" w:color="auto" w:sz="4" w:space="0"/>
            </w:tcBorders>
            <w:vAlign w:val="center"/>
          </w:tcPr>
          <w:p w14:paraId="66488FED">
            <w:pPr>
              <w:widowControl/>
              <w:jc w:val="center"/>
              <w:rPr>
                <w:rFonts w:ascii="宋体" w:hAnsi="宋体" w:cs="宋体"/>
                <w:color w:val="000000"/>
                <w:kern w:val="0"/>
                <w:szCs w:val="21"/>
              </w:rPr>
            </w:pPr>
            <w:r>
              <w:rPr>
                <w:rFonts w:hint="eastAsia" w:ascii="宋体" w:hAnsi="宋体" w:cs="宋体"/>
                <w:color w:val="000000"/>
                <w:kern w:val="0"/>
                <w:szCs w:val="21"/>
              </w:rPr>
              <w:t>核减产品数量</w:t>
            </w:r>
          </w:p>
        </w:tc>
        <w:tc>
          <w:tcPr>
            <w:tcW w:w="851" w:type="dxa"/>
            <w:vMerge w:val="restart"/>
            <w:tcBorders>
              <w:top w:val="single" w:color="auto" w:sz="4" w:space="0"/>
              <w:left w:val="single" w:color="auto" w:sz="4" w:space="0"/>
              <w:bottom w:val="single" w:color="000000" w:sz="4" w:space="0"/>
              <w:right w:val="single" w:color="auto" w:sz="4" w:space="0"/>
            </w:tcBorders>
            <w:vAlign w:val="center"/>
          </w:tcPr>
          <w:p w14:paraId="1A6B6B67">
            <w:pPr>
              <w:widowControl/>
              <w:jc w:val="center"/>
              <w:rPr>
                <w:rFonts w:ascii="宋体" w:hAnsi="宋体" w:cs="宋体"/>
                <w:color w:val="000000"/>
                <w:kern w:val="0"/>
                <w:szCs w:val="21"/>
              </w:rPr>
            </w:pPr>
            <w:r>
              <w:rPr>
                <w:rFonts w:hint="eastAsia" w:ascii="宋体" w:hAnsi="宋体" w:cs="宋体"/>
                <w:color w:val="000000"/>
                <w:kern w:val="0"/>
                <w:szCs w:val="21"/>
              </w:rPr>
              <w:t>新增产品数量</w:t>
            </w:r>
          </w:p>
        </w:tc>
        <w:tc>
          <w:tcPr>
            <w:tcW w:w="847" w:type="dxa"/>
            <w:vMerge w:val="restart"/>
            <w:tcBorders>
              <w:top w:val="single" w:color="auto" w:sz="4" w:space="0"/>
              <w:left w:val="single" w:color="auto" w:sz="4" w:space="0"/>
              <w:bottom w:val="single" w:color="000000" w:sz="4" w:space="0"/>
              <w:right w:val="single" w:color="auto" w:sz="4" w:space="0"/>
            </w:tcBorders>
            <w:vAlign w:val="center"/>
          </w:tcPr>
          <w:p w14:paraId="4F3C49AC">
            <w:pPr>
              <w:widowControl/>
              <w:jc w:val="center"/>
              <w:rPr>
                <w:rFonts w:ascii="宋体" w:hAnsi="宋体" w:cs="宋体"/>
                <w:color w:val="000000"/>
                <w:kern w:val="0"/>
                <w:szCs w:val="21"/>
              </w:rPr>
            </w:pPr>
            <w:r>
              <w:rPr>
                <w:rFonts w:hint="eastAsia" w:ascii="宋体" w:hAnsi="宋体" w:cs="宋体"/>
                <w:color w:val="000000"/>
                <w:kern w:val="0"/>
                <w:szCs w:val="21"/>
              </w:rPr>
              <w:t>修订产品数量</w:t>
            </w:r>
          </w:p>
        </w:tc>
        <w:tc>
          <w:tcPr>
            <w:tcW w:w="1387" w:type="dxa"/>
            <w:gridSpan w:val="2"/>
            <w:tcBorders>
              <w:top w:val="single" w:color="auto" w:sz="4" w:space="0"/>
              <w:left w:val="nil"/>
              <w:bottom w:val="single" w:color="auto" w:sz="4" w:space="0"/>
              <w:right w:val="single" w:color="auto" w:sz="4" w:space="0"/>
            </w:tcBorders>
            <w:noWrap/>
            <w:vAlign w:val="center"/>
          </w:tcPr>
          <w:p w14:paraId="51927E24">
            <w:pPr>
              <w:widowControl/>
              <w:jc w:val="center"/>
              <w:rPr>
                <w:rFonts w:ascii="宋体" w:hAnsi="宋体" w:cs="宋体"/>
                <w:color w:val="000000"/>
                <w:kern w:val="0"/>
                <w:szCs w:val="21"/>
              </w:rPr>
            </w:pPr>
            <w:r>
              <w:rPr>
                <w:rFonts w:hint="eastAsia" w:ascii="宋体" w:hAnsi="宋体" w:cs="宋体"/>
                <w:color w:val="000000"/>
                <w:kern w:val="0"/>
                <w:szCs w:val="21"/>
              </w:rPr>
              <w:t>修订后</w:t>
            </w:r>
          </w:p>
        </w:tc>
      </w:tr>
      <w:tr w14:paraId="14850333">
        <w:tblPrEx>
          <w:tblCellMar>
            <w:top w:w="0" w:type="dxa"/>
            <w:left w:w="108" w:type="dxa"/>
            <w:bottom w:w="0" w:type="dxa"/>
            <w:right w:w="108" w:type="dxa"/>
          </w:tblCellMar>
        </w:tblPrEx>
        <w:trPr>
          <w:trHeight w:val="285" w:hRule="atLeast"/>
        </w:trPr>
        <w:tc>
          <w:tcPr>
            <w:tcW w:w="567" w:type="dxa"/>
            <w:vMerge w:val="continue"/>
            <w:tcBorders>
              <w:top w:val="single" w:color="auto" w:sz="4" w:space="0"/>
              <w:left w:val="single" w:color="auto" w:sz="4" w:space="0"/>
              <w:bottom w:val="single" w:color="000000" w:sz="4" w:space="0"/>
              <w:right w:val="single" w:color="auto" w:sz="4" w:space="0"/>
            </w:tcBorders>
            <w:vAlign w:val="center"/>
          </w:tcPr>
          <w:p w14:paraId="5DAC9A44">
            <w:pPr>
              <w:widowControl/>
              <w:jc w:val="left"/>
              <w:rPr>
                <w:rFonts w:ascii="宋体" w:hAnsi="宋体" w:cs="宋体"/>
                <w:color w:val="000000"/>
                <w:kern w:val="0"/>
                <w:szCs w:val="21"/>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14:paraId="4CD17068">
            <w:pPr>
              <w:widowControl/>
              <w:jc w:val="left"/>
              <w:rPr>
                <w:rFonts w:ascii="宋体" w:hAnsi="宋体" w:cs="宋体"/>
                <w:color w:val="000000"/>
                <w:kern w:val="0"/>
                <w:szCs w:val="21"/>
              </w:rPr>
            </w:pPr>
          </w:p>
        </w:tc>
        <w:tc>
          <w:tcPr>
            <w:tcW w:w="2127" w:type="dxa"/>
            <w:vMerge w:val="continue"/>
            <w:tcBorders>
              <w:top w:val="single" w:color="auto" w:sz="4" w:space="0"/>
              <w:left w:val="single" w:color="auto" w:sz="4" w:space="0"/>
              <w:bottom w:val="single" w:color="000000" w:sz="4" w:space="0"/>
              <w:right w:val="single" w:color="auto" w:sz="4" w:space="0"/>
            </w:tcBorders>
            <w:vAlign w:val="center"/>
          </w:tcPr>
          <w:p w14:paraId="7846338C">
            <w:pPr>
              <w:widowControl/>
              <w:jc w:val="left"/>
              <w:rPr>
                <w:rFonts w:ascii="宋体" w:hAnsi="宋体" w:cs="宋体"/>
                <w:color w:val="000000"/>
                <w:kern w:val="0"/>
                <w:szCs w:val="21"/>
              </w:rPr>
            </w:pPr>
          </w:p>
        </w:tc>
        <w:tc>
          <w:tcPr>
            <w:tcW w:w="708" w:type="dxa"/>
            <w:tcBorders>
              <w:top w:val="nil"/>
              <w:left w:val="nil"/>
              <w:bottom w:val="single" w:color="auto" w:sz="4" w:space="0"/>
              <w:right w:val="single" w:color="auto" w:sz="4" w:space="0"/>
            </w:tcBorders>
            <w:noWrap/>
            <w:vAlign w:val="center"/>
          </w:tcPr>
          <w:p w14:paraId="0F35E610">
            <w:pPr>
              <w:widowControl/>
              <w:jc w:val="center"/>
              <w:rPr>
                <w:rFonts w:ascii="宋体" w:hAnsi="宋体" w:cs="宋体"/>
                <w:color w:val="000000"/>
                <w:kern w:val="0"/>
                <w:szCs w:val="21"/>
              </w:rPr>
            </w:pPr>
            <w:r>
              <w:rPr>
                <w:rFonts w:hint="eastAsia" w:ascii="宋体" w:hAnsi="宋体" w:cs="宋体"/>
                <w:color w:val="000000"/>
                <w:kern w:val="0"/>
                <w:szCs w:val="21"/>
              </w:rPr>
              <w:t>产品数量</w:t>
            </w:r>
          </w:p>
        </w:tc>
        <w:tc>
          <w:tcPr>
            <w:tcW w:w="696" w:type="dxa"/>
            <w:tcBorders>
              <w:top w:val="nil"/>
              <w:left w:val="nil"/>
              <w:bottom w:val="single" w:color="auto" w:sz="4" w:space="0"/>
              <w:right w:val="single" w:color="auto" w:sz="4" w:space="0"/>
            </w:tcBorders>
            <w:noWrap/>
            <w:vAlign w:val="center"/>
          </w:tcPr>
          <w:p w14:paraId="4823262C">
            <w:pPr>
              <w:widowControl/>
              <w:jc w:val="center"/>
              <w:rPr>
                <w:rFonts w:ascii="宋体" w:hAnsi="宋体" w:cs="宋体"/>
                <w:color w:val="000000"/>
                <w:kern w:val="0"/>
                <w:szCs w:val="21"/>
              </w:rPr>
            </w:pPr>
            <w:r>
              <w:rPr>
                <w:rFonts w:hint="eastAsia" w:ascii="宋体" w:hAnsi="宋体" w:cs="宋体"/>
                <w:color w:val="000000"/>
                <w:kern w:val="0"/>
                <w:szCs w:val="21"/>
              </w:rPr>
              <w:t>定额数量</w:t>
            </w:r>
          </w:p>
        </w:tc>
        <w:tc>
          <w:tcPr>
            <w:tcW w:w="721" w:type="dxa"/>
            <w:vMerge w:val="continue"/>
            <w:tcBorders>
              <w:top w:val="single" w:color="auto" w:sz="4" w:space="0"/>
              <w:left w:val="single" w:color="auto" w:sz="4" w:space="0"/>
              <w:bottom w:val="single" w:color="000000" w:sz="4" w:space="0"/>
              <w:right w:val="single" w:color="auto" w:sz="4" w:space="0"/>
            </w:tcBorders>
            <w:vAlign w:val="center"/>
          </w:tcPr>
          <w:p w14:paraId="7143D169">
            <w:pPr>
              <w:widowControl/>
              <w:jc w:val="left"/>
              <w:rPr>
                <w:rFonts w:ascii="宋体" w:hAnsi="宋体" w:cs="宋体"/>
                <w:color w:val="000000"/>
                <w:kern w:val="0"/>
                <w:szCs w:val="21"/>
              </w:rPr>
            </w:pPr>
          </w:p>
        </w:tc>
        <w:tc>
          <w:tcPr>
            <w:tcW w:w="851" w:type="dxa"/>
            <w:vMerge w:val="continue"/>
            <w:tcBorders>
              <w:top w:val="single" w:color="auto" w:sz="4" w:space="0"/>
              <w:left w:val="single" w:color="auto" w:sz="4" w:space="0"/>
              <w:bottom w:val="single" w:color="000000" w:sz="4" w:space="0"/>
              <w:right w:val="single" w:color="auto" w:sz="4" w:space="0"/>
            </w:tcBorders>
            <w:vAlign w:val="center"/>
          </w:tcPr>
          <w:p w14:paraId="3B68E927">
            <w:pPr>
              <w:widowControl/>
              <w:jc w:val="left"/>
              <w:rPr>
                <w:rFonts w:ascii="宋体" w:hAnsi="宋体" w:cs="宋体"/>
                <w:color w:val="000000"/>
                <w:kern w:val="0"/>
                <w:szCs w:val="21"/>
              </w:rPr>
            </w:pPr>
          </w:p>
        </w:tc>
        <w:tc>
          <w:tcPr>
            <w:tcW w:w="847" w:type="dxa"/>
            <w:vMerge w:val="continue"/>
            <w:tcBorders>
              <w:top w:val="single" w:color="auto" w:sz="4" w:space="0"/>
              <w:left w:val="single" w:color="auto" w:sz="4" w:space="0"/>
              <w:bottom w:val="single" w:color="000000" w:sz="4" w:space="0"/>
              <w:right w:val="single" w:color="auto" w:sz="4" w:space="0"/>
            </w:tcBorders>
            <w:vAlign w:val="center"/>
          </w:tcPr>
          <w:p w14:paraId="0277F45E">
            <w:pPr>
              <w:widowControl/>
              <w:jc w:val="left"/>
              <w:rPr>
                <w:rFonts w:ascii="宋体" w:hAnsi="宋体" w:cs="宋体"/>
                <w:color w:val="000000"/>
                <w:kern w:val="0"/>
                <w:szCs w:val="21"/>
              </w:rPr>
            </w:pPr>
          </w:p>
        </w:tc>
        <w:tc>
          <w:tcPr>
            <w:tcW w:w="691" w:type="dxa"/>
            <w:tcBorders>
              <w:top w:val="nil"/>
              <w:left w:val="nil"/>
              <w:bottom w:val="single" w:color="auto" w:sz="4" w:space="0"/>
              <w:right w:val="single" w:color="auto" w:sz="4" w:space="0"/>
            </w:tcBorders>
            <w:noWrap/>
            <w:vAlign w:val="center"/>
          </w:tcPr>
          <w:p w14:paraId="2A6E78A9">
            <w:pPr>
              <w:widowControl/>
              <w:jc w:val="center"/>
              <w:rPr>
                <w:rFonts w:ascii="宋体" w:hAnsi="宋体" w:cs="宋体"/>
                <w:color w:val="000000"/>
                <w:kern w:val="0"/>
                <w:szCs w:val="21"/>
              </w:rPr>
            </w:pPr>
            <w:r>
              <w:rPr>
                <w:rFonts w:hint="eastAsia" w:ascii="宋体" w:hAnsi="宋体" w:cs="宋体"/>
                <w:color w:val="000000"/>
                <w:kern w:val="0"/>
                <w:szCs w:val="21"/>
              </w:rPr>
              <w:t>产品数量</w:t>
            </w:r>
          </w:p>
        </w:tc>
        <w:tc>
          <w:tcPr>
            <w:tcW w:w="696" w:type="dxa"/>
            <w:tcBorders>
              <w:top w:val="nil"/>
              <w:left w:val="nil"/>
              <w:bottom w:val="nil"/>
              <w:right w:val="single" w:color="auto" w:sz="4" w:space="0"/>
            </w:tcBorders>
            <w:noWrap/>
            <w:vAlign w:val="center"/>
          </w:tcPr>
          <w:p w14:paraId="0687CD4F">
            <w:pPr>
              <w:widowControl/>
              <w:jc w:val="center"/>
              <w:rPr>
                <w:rFonts w:ascii="宋体" w:hAnsi="宋体" w:cs="宋体"/>
                <w:color w:val="000000"/>
                <w:kern w:val="0"/>
                <w:szCs w:val="21"/>
              </w:rPr>
            </w:pPr>
            <w:r>
              <w:rPr>
                <w:rFonts w:hint="eastAsia" w:ascii="宋体" w:hAnsi="宋体" w:cs="宋体"/>
                <w:color w:val="000000"/>
                <w:kern w:val="0"/>
                <w:szCs w:val="21"/>
              </w:rPr>
              <w:t>定额数量</w:t>
            </w:r>
          </w:p>
        </w:tc>
      </w:tr>
      <w:tr w14:paraId="66D4E422">
        <w:tblPrEx>
          <w:tblCellMar>
            <w:top w:w="0" w:type="dxa"/>
            <w:left w:w="108" w:type="dxa"/>
            <w:bottom w:w="0" w:type="dxa"/>
            <w:right w:w="108" w:type="dxa"/>
          </w:tblCellMar>
        </w:tblPrEx>
        <w:trPr>
          <w:trHeight w:val="315" w:hRule="atLeast"/>
        </w:trPr>
        <w:tc>
          <w:tcPr>
            <w:tcW w:w="567" w:type="dxa"/>
            <w:tcBorders>
              <w:top w:val="nil"/>
              <w:left w:val="single" w:color="auto" w:sz="4" w:space="0"/>
              <w:bottom w:val="single" w:color="auto" w:sz="4" w:space="0"/>
              <w:right w:val="single" w:color="auto" w:sz="4" w:space="0"/>
            </w:tcBorders>
            <w:noWrap/>
            <w:vAlign w:val="center"/>
          </w:tcPr>
          <w:p w14:paraId="21E72104">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567" w:type="dxa"/>
            <w:tcBorders>
              <w:top w:val="nil"/>
              <w:left w:val="nil"/>
              <w:bottom w:val="single" w:color="auto" w:sz="4" w:space="0"/>
              <w:right w:val="single" w:color="auto" w:sz="4" w:space="0"/>
            </w:tcBorders>
            <w:noWrap/>
            <w:vAlign w:val="center"/>
          </w:tcPr>
          <w:p w14:paraId="3E7B91F4">
            <w:pPr>
              <w:widowControl/>
              <w:jc w:val="center"/>
              <w:rPr>
                <w:rFonts w:ascii="Times New Roman" w:hAnsi="Times New Roman"/>
                <w:color w:val="000000"/>
                <w:kern w:val="0"/>
                <w:szCs w:val="21"/>
              </w:rPr>
            </w:pPr>
            <w:r>
              <w:rPr>
                <w:rFonts w:ascii="Times New Roman" w:hAnsi="Times New Roman"/>
                <w:color w:val="000000"/>
                <w:kern w:val="0"/>
                <w:szCs w:val="21"/>
              </w:rPr>
              <w:t>A</w:t>
            </w:r>
          </w:p>
        </w:tc>
        <w:tc>
          <w:tcPr>
            <w:tcW w:w="2127" w:type="dxa"/>
            <w:tcBorders>
              <w:top w:val="nil"/>
              <w:left w:val="nil"/>
              <w:bottom w:val="single" w:color="auto" w:sz="4" w:space="0"/>
              <w:right w:val="single" w:color="auto" w:sz="4" w:space="0"/>
            </w:tcBorders>
            <w:noWrap/>
            <w:vAlign w:val="center"/>
          </w:tcPr>
          <w:p w14:paraId="39BA4CCE">
            <w:pPr>
              <w:widowControl/>
              <w:jc w:val="left"/>
              <w:rPr>
                <w:rFonts w:ascii="宋体" w:hAnsi="宋体" w:cs="宋体"/>
                <w:color w:val="000000"/>
                <w:kern w:val="0"/>
                <w:szCs w:val="21"/>
              </w:rPr>
            </w:pPr>
            <w:r>
              <w:rPr>
                <w:rFonts w:hint="eastAsia" w:ascii="宋体" w:hAnsi="宋体" w:cs="宋体"/>
                <w:color w:val="000000"/>
                <w:kern w:val="0"/>
                <w:szCs w:val="21"/>
              </w:rPr>
              <w:t>农、林、牧、渔业</w:t>
            </w:r>
          </w:p>
        </w:tc>
        <w:tc>
          <w:tcPr>
            <w:tcW w:w="708" w:type="dxa"/>
            <w:tcBorders>
              <w:top w:val="nil"/>
              <w:left w:val="nil"/>
              <w:bottom w:val="single" w:color="auto" w:sz="4" w:space="0"/>
              <w:right w:val="single" w:color="auto" w:sz="4" w:space="0"/>
            </w:tcBorders>
            <w:noWrap/>
            <w:vAlign w:val="center"/>
          </w:tcPr>
          <w:p w14:paraId="795CDCD4">
            <w:pPr>
              <w:widowControl/>
              <w:jc w:val="center"/>
              <w:rPr>
                <w:rFonts w:ascii="Times New Roman" w:hAnsi="Times New Roman"/>
                <w:color w:val="000000"/>
                <w:kern w:val="0"/>
                <w:szCs w:val="21"/>
              </w:rPr>
            </w:pPr>
            <w:r>
              <w:rPr>
                <w:rFonts w:ascii="Times New Roman" w:hAnsi="Times New Roman"/>
                <w:color w:val="000000"/>
                <w:kern w:val="0"/>
                <w:szCs w:val="21"/>
              </w:rPr>
              <w:t>50</w:t>
            </w:r>
          </w:p>
        </w:tc>
        <w:tc>
          <w:tcPr>
            <w:tcW w:w="696" w:type="dxa"/>
            <w:tcBorders>
              <w:top w:val="nil"/>
              <w:left w:val="nil"/>
              <w:bottom w:val="single" w:color="auto" w:sz="4" w:space="0"/>
              <w:right w:val="single" w:color="auto" w:sz="4" w:space="0"/>
            </w:tcBorders>
            <w:noWrap/>
            <w:vAlign w:val="center"/>
          </w:tcPr>
          <w:p w14:paraId="283B8629">
            <w:pPr>
              <w:widowControl/>
              <w:jc w:val="center"/>
              <w:rPr>
                <w:rFonts w:ascii="Times New Roman" w:hAnsi="Times New Roman"/>
                <w:color w:val="000000"/>
                <w:kern w:val="0"/>
                <w:szCs w:val="21"/>
              </w:rPr>
            </w:pPr>
            <w:r>
              <w:rPr>
                <w:rFonts w:ascii="Times New Roman" w:hAnsi="Times New Roman"/>
                <w:color w:val="000000"/>
                <w:kern w:val="0"/>
                <w:szCs w:val="21"/>
              </w:rPr>
              <w:t>3230</w:t>
            </w:r>
          </w:p>
        </w:tc>
        <w:tc>
          <w:tcPr>
            <w:tcW w:w="721" w:type="dxa"/>
            <w:tcBorders>
              <w:top w:val="nil"/>
              <w:left w:val="nil"/>
              <w:bottom w:val="single" w:color="auto" w:sz="4" w:space="0"/>
              <w:right w:val="single" w:color="auto" w:sz="4" w:space="0"/>
            </w:tcBorders>
            <w:noWrap/>
            <w:vAlign w:val="center"/>
          </w:tcPr>
          <w:p w14:paraId="29146048">
            <w:pPr>
              <w:widowControl/>
              <w:jc w:val="center"/>
              <w:rPr>
                <w:rFonts w:ascii="Times New Roman" w:hAnsi="Times New Roman"/>
                <w:color w:val="000000"/>
                <w:kern w:val="0"/>
                <w:szCs w:val="21"/>
              </w:rPr>
            </w:pPr>
            <w:r>
              <w:rPr>
                <w:rFonts w:ascii="Times New Roman" w:hAnsi="Times New Roman"/>
                <w:color w:val="000000"/>
                <w:kern w:val="0"/>
                <w:szCs w:val="21"/>
              </w:rPr>
              <w:t>　</w:t>
            </w:r>
          </w:p>
        </w:tc>
        <w:tc>
          <w:tcPr>
            <w:tcW w:w="851" w:type="dxa"/>
            <w:tcBorders>
              <w:top w:val="nil"/>
              <w:left w:val="nil"/>
              <w:bottom w:val="single" w:color="auto" w:sz="4" w:space="0"/>
              <w:right w:val="single" w:color="auto" w:sz="4" w:space="0"/>
            </w:tcBorders>
            <w:noWrap/>
            <w:vAlign w:val="center"/>
          </w:tcPr>
          <w:p w14:paraId="515FD80E">
            <w:pPr>
              <w:widowControl/>
              <w:jc w:val="center"/>
              <w:rPr>
                <w:rFonts w:ascii="Times New Roman" w:hAnsi="Times New Roman"/>
                <w:kern w:val="0"/>
                <w:szCs w:val="21"/>
              </w:rPr>
            </w:pPr>
            <w:r>
              <w:rPr>
                <w:rFonts w:ascii="Times New Roman" w:hAnsi="Times New Roman"/>
                <w:kern w:val="0"/>
                <w:szCs w:val="21"/>
              </w:rPr>
              <w:t>12</w:t>
            </w:r>
          </w:p>
        </w:tc>
        <w:tc>
          <w:tcPr>
            <w:tcW w:w="847" w:type="dxa"/>
            <w:tcBorders>
              <w:top w:val="nil"/>
              <w:left w:val="nil"/>
              <w:bottom w:val="single" w:color="auto" w:sz="4" w:space="0"/>
              <w:right w:val="single" w:color="auto" w:sz="4" w:space="0"/>
            </w:tcBorders>
            <w:noWrap/>
            <w:vAlign w:val="center"/>
          </w:tcPr>
          <w:p w14:paraId="1C66AC48">
            <w:pPr>
              <w:widowControl/>
              <w:jc w:val="center"/>
              <w:rPr>
                <w:rFonts w:ascii="Times New Roman" w:hAnsi="Times New Roman"/>
                <w:kern w:val="0"/>
                <w:szCs w:val="21"/>
              </w:rPr>
            </w:pPr>
            <w:r>
              <w:rPr>
                <w:rFonts w:ascii="Times New Roman" w:hAnsi="Times New Roman"/>
                <w:kern w:val="0"/>
                <w:szCs w:val="21"/>
              </w:rPr>
              <w:t>48</w:t>
            </w:r>
          </w:p>
        </w:tc>
        <w:tc>
          <w:tcPr>
            <w:tcW w:w="691" w:type="dxa"/>
            <w:tcBorders>
              <w:top w:val="nil"/>
              <w:left w:val="nil"/>
              <w:bottom w:val="single" w:color="auto" w:sz="4" w:space="0"/>
              <w:right w:val="single" w:color="auto" w:sz="4" w:space="0"/>
            </w:tcBorders>
            <w:noWrap/>
            <w:vAlign w:val="center"/>
          </w:tcPr>
          <w:p w14:paraId="747DFC0F">
            <w:pPr>
              <w:widowControl/>
              <w:jc w:val="center"/>
              <w:rPr>
                <w:rFonts w:ascii="Times New Roman" w:hAnsi="Times New Roman"/>
                <w:kern w:val="0"/>
                <w:szCs w:val="21"/>
              </w:rPr>
            </w:pPr>
            <w:r>
              <w:rPr>
                <w:rFonts w:ascii="Times New Roman" w:hAnsi="Times New Roman"/>
                <w:kern w:val="0"/>
                <w:szCs w:val="21"/>
              </w:rPr>
              <w:t>62</w:t>
            </w:r>
          </w:p>
        </w:tc>
        <w:tc>
          <w:tcPr>
            <w:tcW w:w="696" w:type="dxa"/>
            <w:tcBorders>
              <w:top w:val="single" w:color="auto" w:sz="4" w:space="0"/>
              <w:left w:val="nil"/>
              <w:bottom w:val="single" w:color="auto" w:sz="4" w:space="0"/>
              <w:right w:val="single" w:color="auto" w:sz="4" w:space="0"/>
            </w:tcBorders>
            <w:noWrap/>
            <w:vAlign w:val="center"/>
          </w:tcPr>
          <w:p w14:paraId="6AC179F6">
            <w:pPr>
              <w:widowControl/>
              <w:jc w:val="center"/>
              <w:rPr>
                <w:rFonts w:ascii="Times New Roman" w:hAnsi="Times New Roman"/>
                <w:kern w:val="0"/>
                <w:szCs w:val="21"/>
              </w:rPr>
            </w:pPr>
            <w:r>
              <w:rPr>
                <w:rFonts w:ascii="Times New Roman" w:hAnsi="Times New Roman"/>
                <w:kern w:val="0"/>
                <w:szCs w:val="21"/>
              </w:rPr>
              <w:t>3296</w:t>
            </w:r>
          </w:p>
        </w:tc>
      </w:tr>
      <w:tr w14:paraId="70E4F9AF">
        <w:tblPrEx>
          <w:tblCellMar>
            <w:top w:w="0" w:type="dxa"/>
            <w:left w:w="108" w:type="dxa"/>
            <w:bottom w:w="0" w:type="dxa"/>
            <w:right w:w="108" w:type="dxa"/>
          </w:tblCellMar>
        </w:tblPrEx>
        <w:trPr>
          <w:trHeight w:val="315" w:hRule="atLeast"/>
        </w:trPr>
        <w:tc>
          <w:tcPr>
            <w:tcW w:w="567" w:type="dxa"/>
            <w:tcBorders>
              <w:top w:val="nil"/>
              <w:left w:val="single" w:color="auto" w:sz="4" w:space="0"/>
              <w:bottom w:val="single" w:color="auto" w:sz="4" w:space="0"/>
              <w:right w:val="single" w:color="auto" w:sz="4" w:space="0"/>
            </w:tcBorders>
            <w:noWrap/>
            <w:vAlign w:val="center"/>
          </w:tcPr>
          <w:p w14:paraId="4D59BEAF">
            <w:pPr>
              <w:widowControl/>
              <w:jc w:val="center"/>
              <w:rPr>
                <w:rFonts w:ascii="Times New Roman" w:hAnsi="Times New Roman"/>
                <w:color w:val="000000"/>
                <w:kern w:val="0"/>
                <w:szCs w:val="21"/>
              </w:rPr>
            </w:pPr>
            <w:r>
              <w:rPr>
                <w:rFonts w:ascii="Times New Roman" w:hAnsi="Times New Roman"/>
                <w:color w:val="000000"/>
                <w:kern w:val="0"/>
                <w:szCs w:val="21"/>
              </w:rPr>
              <w:t>2</w:t>
            </w:r>
          </w:p>
        </w:tc>
        <w:tc>
          <w:tcPr>
            <w:tcW w:w="567" w:type="dxa"/>
            <w:tcBorders>
              <w:top w:val="nil"/>
              <w:left w:val="nil"/>
              <w:bottom w:val="single" w:color="auto" w:sz="4" w:space="0"/>
              <w:right w:val="single" w:color="auto" w:sz="4" w:space="0"/>
            </w:tcBorders>
            <w:noWrap/>
            <w:vAlign w:val="center"/>
          </w:tcPr>
          <w:p w14:paraId="38276321">
            <w:pPr>
              <w:widowControl/>
              <w:jc w:val="center"/>
              <w:rPr>
                <w:rFonts w:ascii="Times New Roman" w:hAnsi="Times New Roman"/>
                <w:color w:val="000000"/>
                <w:kern w:val="0"/>
                <w:szCs w:val="21"/>
              </w:rPr>
            </w:pPr>
            <w:r>
              <w:rPr>
                <w:rFonts w:ascii="Times New Roman" w:hAnsi="Times New Roman"/>
                <w:color w:val="000000"/>
                <w:kern w:val="0"/>
                <w:szCs w:val="21"/>
              </w:rPr>
              <w:t>B</w:t>
            </w:r>
          </w:p>
        </w:tc>
        <w:tc>
          <w:tcPr>
            <w:tcW w:w="2127" w:type="dxa"/>
            <w:tcBorders>
              <w:top w:val="nil"/>
              <w:left w:val="nil"/>
              <w:bottom w:val="single" w:color="auto" w:sz="4" w:space="0"/>
              <w:right w:val="single" w:color="auto" w:sz="4" w:space="0"/>
            </w:tcBorders>
            <w:noWrap/>
            <w:vAlign w:val="center"/>
          </w:tcPr>
          <w:p w14:paraId="3AA69734">
            <w:pPr>
              <w:widowControl/>
              <w:jc w:val="left"/>
              <w:rPr>
                <w:rFonts w:ascii="宋体" w:hAnsi="宋体" w:cs="宋体"/>
                <w:color w:val="000000"/>
                <w:kern w:val="0"/>
                <w:szCs w:val="21"/>
              </w:rPr>
            </w:pPr>
            <w:r>
              <w:rPr>
                <w:rFonts w:hint="eastAsia" w:ascii="宋体" w:hAnsi="宋体" w:cs="宋体"/>
                <w:color w:val="000000"/>
                <w:kern w:val="0"/>
                <w:szCs w:val="21"/>
              </w:rPr>
              <w:t>采矿业</w:t>
            </w:r>
          </w:p>
        </w:tc>
        <w:tc>
          <w:tcPr>
            <w:tcW w:w="708" w:type="dxa"/>
            <w:tcBorders>
              <w:top w:val="nil"/>
              <w:left w:val="nil"/>
              <w:bottom w:val="single" w:color="auto" w:sz="4" w:space="0"/>
              <w:right w:val="single" w:color="auto" w:sz="4" w:space="0"/>
            </w:tcBorders>
            <w:noWrap/>
            <w:vAlign w:val="center"/>
          </w:tcPr>
          <w:p w14:paraId="604DC629">
            <w:pPr>
              <w:widowControl/>
              <w:jc w:val="center"/>
              <w:rPr>
                <w:rFonts w:ascii="Times New Roman" w:hAnsi="Times New Roman"/>
                <w:color w:val="000000"/>
                <w:kern w:val="0"/>
                <w:szCs w:val="21"/>
              </w:rPr>
            </w:pPr>
            <w:r>
              <w:rPr>
                <w:rFonts w:hint="eastAsia" w:ascii="Times New Roman" w:hAnsi="Times New Roman"/>
                <w:color w:val="000000"/>
                <w:kern w:val="0"/>
                <w:szCs w:val="21"/>
              </w:rPr>
              <w:t>25</w:t>
            </w:r>
          </w:p>
        </w:tc>
        <w:tc>
          <w:tcPr>
            <w:tcW w:w="696" w:type="dxa"/>
            <w:tcBorders>
              <w:top w:val="nil"/>
              <w:left w:val="nil"/>
              <w:bottom w:val="single" w:color="auto" w:sz="4" w:space="0"/>
              <w:right w:val="single" w:color="auto" w:sz="4" w:space="0"/>
            </w:tcBorders>
            <w:noWrap/>
            <w:vAlign w:val="center"/>
          </w:tcPr>
          <w:p w14:paraId="4D52D468">
            <w:pPr>
              <w:widowControl/>
              <w:jc w:val="center"/>
              <w:rPr>
                <w:rFonts w:ascii="Times New Roman" w:hAnsi="Times New Roman"/>
                <w:color w:val="000000"/>
                <w:kern w:val="0"/>
                <w:szCs w:val="21"/>
              </w:rPr>
            </w:pPr>
            <w:r>
              <w:rPr>
                <w:rFonts w:hint="eastAsia" w:ascii="Times New Roman" w:hAnsi="Times New Roman"/>
                <w:color w:val="000000"/>
                <w:kern w:val="0"/>
                <w:szCs w:val="21"/>
              </w:rPr>
              <w:t>84</w:t>
            </w:r>
          </w:p>
        </w:tc>
        <w:tc>
          <w:tcPr>
            <w:tcW w:w="721" w:type="dxa"/>
            <w:tcBorders>
              <w:top w:val="nil"/>
              <w:left w:val="nil"/>
              <w:bottom w:val="single" w:color="auto" w:sz="4" w:space="0"/>
              <w:right w:val="single" w:color="auto" w:sz="4" w:space="0"/>
            </w:tcBorders>
            <w:noWrap/>
            <w:vAlign w:val="center"/>
          </w:tcPr>
          <w:p w14:paraId="11E173B9">
            <w:pPr>
              <w:widowControl/>
              <w:jc w:val="center"/>
              <w:rPr>
                <w:rFonts w:ascii="Times New Roman" w:hAnsi="Times New Roman"/>
                <w:color w:val="000000"/>
                <w:kern w:val="0"/>
                <w:szCs w:val="21"/>
              </w:rPr>
            </w:pPr>
          </w:p>
        </w:tc>
        <w:tc>
          <w:tcPr>
            <w:tcW w:w="851" w:type="dxa"/>
            <w:tcBorders>
              <w:top w:val="nil"/>
              <w:left w:val="nil"/>
              <w:bottom w:val="single" w:color="auto" w:sz="4" w:space="0"/>
              <w:right w:val="single" w:color="auto" w:sz="4" w:space="0"/>
            </w:tcBorders>
            <w:noWrap/>
            <w:vAlign w:val="center"/>
          </w:tcPr>
          <w:p w14:paraId="7FB94E7C">
            <w:pPr>
              <w:widowControl/>
              <w:jc w:val="center"/>
              <w:rPr>
                <w:rFonts w:ascii="Times New Roman" w:hAnsi="Times New Roman"/>
                <w:color w:val="000000"/>
                <w:kern w:val="0"/>
                <w:szCs w:val="21"/>
              </w:rPr>
            </w:pPr>
            <w:r>
              <w:rPr>
                <w:rFonts w:hint="eastAsia" w:ascii="Times New Roman" w:hAnsi="Times New Roman"/>
                <w:color w:val="000000"/>
                <w:kern w:val="0"/>
                <w:szCs w:val="21"/>
              </w:rPr>
              <w:t>3</w:t>
            </w:r>
          </w:p>
        </w:tc>
        <w:tc>
          <w:tcPr>
            <w:tcW w:w="847" w:type="dxa"/>
            <w:tcBorders>
              <w:top w:val="nil"/>
              <w:left w:val="nil"/>
              <w:bottom w:val="single" w:color="auto" w:sz="4" w:space="0"/>
              <w:right w:val="single" w:color="auto" w:sz="4" w:space="0"/>
            </w:tcBorders>
            <w:noWrap/>
            <w:vAlign w:val="center"/>
          </w:tcPr>
          <w:p w14:paraId="3456A8B9">
            <w:pPr>
              <w:widowControl/>
              <w:jc w:val="center"/>
              <w:rPr>
                <w:rFonts w:ascii="Times New Roman" w:hAnsi="Times New Roman"/>
                <w:color w:val="000000"/>
                <w:kern w:val="0"/>
                <w:szCs w:val="21"/>
              </w:rPr>
            </w:pPr>
            <w:r>
              <w:rPr>
                <w:rFonts w:hint="eastAsia" w:ascii="Times New Roman" w:hAnsi="Times New Roman"/>
                <w:color w:val="000000"/>
                <w:kern w:val="0"/>
                <w:szCs w:val="21"/>
              </w:rPr>
              <w:t>5</w:t>
            </w:r>
          </w:p>
        </w:tc>
        <w:tc>
          <w:tcPr>
            <w:tcW w:w="691" w:type="dxa"/>
            <w:tcBorders>
              <w:top w:val="nil"/>
              <w:left w:val="nil"/>
              <w:bottom w:val="single" w:color="auto" w:sz="4" w:space="0"/>
              <w:right w:val="single" w:color="auto" w:sz="4" w:space="0"/>
            </w:tcBorders>
            <w:noWrap/>
            <w:vAlign w:val="center"/>
          </w:tcPr>
          <w:p w14:paraId="11250E81">
            <w:pPr>
              <w:widowControl/>
              <w:jc w:val="center"/>
              <w:rPr>
                <w:rFonts w:ascii="Times New Roman" w:hAnsi="Times New Roman"/>
                <w:color w:val="000000"/>
                <w:kern w:val="0"/>
                <w:szCs w:val="21"/>
              </w:rPr>
            </w:pPr>
            <w:r>
              <w:rPr>
                <w:rFonts w:hint="eastAsia" w:ascii="Times New Roman" w:hAnsi="Times New Roman"/>
                <w:color w:val="000000"/>
                <w:kern w:val="0"/>
                <w:szCs w:val="21"/>
              </w:rPr>
              <w:t>28</w:t>
            </w:r>
          </w:p>
        </w:tc>
        <w:tc>
          <w:tcPr>
            <w:tcW w:w="696" w:type="dxa"/>
            <w:tcBorders>
              <w:top w:val="nil"/>
              <w:left w:val="nil"/>
              <w:bottom w:val="single" w:color="auto" w:sz="4" w:space="0"/>
              <w:right w:val="single" w:color="auto" w:sz="4" w:space="0"/>
            </w:tcBorders>
            <w:noWrap/>
            <w:vAlign w:val="center"/>
          </w:tcPr>
          <w:p w14:paraId="13BEDC7A">
            <w:pPr>
              <w:widowControl/>
              <w:jc w:val="center"/>
              <w:rPr>
                <w:rFonts w:ascii="Times New Roman" w:hAnsi="Times New Roman"/>
                <w:color w:val="000000"/>
                <w:kern w:val="0"/>
                <w:szCs w:val="21"/>
              </w:rPr>
            </w:pPr>
            <w:r>
              <w:rPr>
                <w:rFonts w:hint="eastAsia" w:ascii="Times New Roman" w:hAnsi="Times New Roman"/>
                <w:color w:val="000000"/>
                <w:kern w:val="0"/>
                <w:szCs w:val="21"/>
              </w:rPr>
              <w:t>68</w:t>
            </w:r>
          </w:p>
        </w:tc>
      </w:tr>
      <w:tr w14:paraId="320F7637">
        <w:tblPrEx>
          <w:tblCellMar>
            <w:top w:w="0" w:type="dxa"/>
            <w:left w:w="108" w:type="dxa"/>
            <w:bottom w:w="0" w:type="dxa"/>
            <w:right w:w="108" w:type="dxa"/>
          </w:tblCellMar>
        </w:tblPrEx>
        <w:trPr>
          <w:trHeight w:val="315" w:hRule="atLeast"/>
        </w:trPr>
        <w:tc>
          <w:tcPr>
            <w:tcW w:w="567" w:type="dxa"/>
            <w:tcBorders>
              <w:top w:val="nil"/>
              <w:left w:val="single" w:color="auto" w:sz="4" w:space="0"/>
              <w:bottom w:val="single" w:color="auto" w:sz="4" w:space="0"/>
              <w:right w:val="single" w:color="auto" w:sz="4" w:space="0"/>
            </w:tcBorders>
            <w:noWrap/>
            <w:vAlign w:val="center"/>
          </w:tcPr>
          <w:p w14:paraId="625EA9C7">
            <w:pPr>
              <w:widowControl/>
              <w:jc w:val="center"/>
              <w:rPr>
                <w:rFonts w:ascii="Times New Roman" w:hAnsi="Times New Roman"/>
                <w:color w:val="000000"/>
                <w:kern w:val="0"/>
                <w:szCs w:val="21"/>
              </w:rPr>
            </w:pPr>
            <w:r>
              <w:rPr>
                <w:rFonts w:ascii="Times New Roman" w:hAnsi="Times New Roman"/>
                <w:color w:val="000000"/>
                <w:kern w:val="0"/>
                <w:szCs w:val="21"/>
              </w:rPr>
              <w:t>3</w:t>
            </w:r>
          </w:p>
        </w:tc>
        <w:tc>
          <w:tcPr>
            <w:tcW w:w="567" w:type="dxa"/>
            <w:tcBorders>
              <w:top w:val="nil"/>
              <w:left w:val="nil"/>
              <w:bottom w:val="single" w:color="auto" w:sz="4" w:space="0"/>
              <w:right w:val="single" w:color="auto" w:sz="4" w:space="0"/>
            </w:tcBorders>
            <w:noWrap/>
            <w:vAlign w:val="center"/>
          </w:tcPr>
          <w:p w14:paraId="70F85ABE">
            <w:pPr>
              <w:widowControl/>
              <w:jc w:val="center"/>
              <w:rPr>
                <w:rFonts w:ascii="Times New Roman" w:hAnsi="Times New Roman"/>
                <w:color w:val="000000"/>
                <w:kern w:val="0"/>
                <w:szCs w:val="21"/>
              </w:rPr>
            </w:pPr>
            <w:r>
              <w:rPr>
                <w:rFonts w:ascii="Times New Roman" w:hAnsi="Times New Roman"/>
                <w:color w:val="000000"/>
                <w:kern w:val="0"/>
                <w:szCs w:val="21"/>
              </w:rPr>
              <w:t>C</w:t>
            </w:r>
          </w:p>
        </w:tc>
        <w:tc>
          <w:tcPr>
            <w:tcW w:w="2127" w:type="dxa"/>
            <w:tcBorders>
              <w:top w:val="nil"/>
              <w:left w:val="nil"/>
              <w:bottom w:val="single" w:color="auto" w:sz="4" w:space="0"/>
              <w:right w:val="single" w:color="auto" w:sz="4" w:space="0"/>
            </w:tcBorders>
            <w:noWrap/>
            <w:vAlign w:val="center"/>
          </w:tcPr>
          <w:p w14:paraId="5D63FADC">
            <w:pPr>
              <w:widowControl/>
              <w:jc w:val="left"/>
              <w:rPr>
                <w:rFonts w:ascii="宋体" w:hAnsi="宋体" w:cs="宋体"/>
                <w:color w:val="000000"/>
                <w:kern w:val="0"/>
                <w:szCs w:val="21"/>
              </w:rPr>
            </w:pPr>
            <w:r>
              <w:rPr>
                <w:rFonts w:hint="eastAsia" w:ascii="宋体" w:hAnsi="宋体" w:cs="宋体"/>
                <w:color w:val="000000"/>
                <w:kern w:val="0"/>
                <w:szCs w:val="21"/>
              </w:rPr>
              <w:t>制造业</w:t>
            </w:r>
          </w:p>
        </w:tc>
        <w:tc>
          <w:tcPr>
            <w:tcW w:w="708" w:type="dxa"/>
            <w:tcBorders>
              <w:top w:val="nil"/>
              <w:left w:val="nil"/>
              <w:bottom w:val="single" w:color="auto" w:sz="4" w:space="0"/>
              <w:right w:val="single" w:color="auto" w:sz="4" w:space="0"/>
            </w:tcBorders>
            <w:noWrap/>
            <w:vAlign w:val="center"/>
          </w:tcPr>
          <w:p w14:paraId="395D18A8">
            <w:pPr>
              <w:widowControl/>
              <w:jc w:val="center"/>
              <w:rPr>
                <w:rFonts w:ascii="Times New Roman" w:hAnsi="Times New Roman"/>
                <w:color w:val="000000"/>
                <w:kern w:val="0"/>
                <w:szCs w:val="21"/>
              </w:rPr>
            </w:pPr>
            <w:r>
              <w:rPr>
                <w:rFonts w:hint="eastAsia" w:ascii="Times New Roman" w:hAnsi="Times New Roman"/>
                <w:color w:val="000000"/>
                <w:kern w:val="0"/>
                <w:szCs w:val="21"/>
              </w:rPr>
              <w:t>680</w:t>
            </w:r>
          </w:p>
        </w:tc>
        <w:tc>
          <w:tcPr>
            <w:tcW w:w="696" w:type="dxa"/>
            <w:tcBorders>
              <w:top w:val="nil"/>
              <w:left w:val="nil"/>
              <w:bottom w:val="single" w:color="auto" w:sz="4" w:space="0"/>
              <w:right w:val="single" w:color="auto" w:sz="4" w:space="0"/>
            </w:tcBorders>
            <w:noWrap/>
            <w:vAlign w:val="center"/>
          </w:tcPr>
          <w:p w14:paraId="68CAA3CA">
            <w:pPr>
              <w:widowControl/>
              <w:jc w:val="center"/>
              <w:rPr>
                <w:rFonts w:ascii="Times New Roman" w:hAnsi="Times New Roman"/>
                <w:color w:val="000000"/>
                <w:kern w:val="0"/>
                <w:szCs w:val="21"/>
              </w:rPr>
            </w:pPr>
            <w:r>
              <w:rPr>
                <w:rFonts w:hint="eastAsia" w:ascii="Times New Roman" w:hAnsi="Times New Roman"/>
                <w:color w:val="000000"/>
                <w:kern w:val="0"/>
                <w:szCs w:val="21"/>
              </w:rPr>
              <w:t>2316</w:t>
            </w:r>
          </w:p>
        </w:tc>
        <w:tc>
          <w:tcPr>
            <w:tcW w:w="721" w:type="dxa"/>
            <w:tcBorders>
              <w:top w:val="nil"/>
              <w:left w:val="nil"/>
              <w:bottom w:val="single" w:color="auto" w:sz="4" w:space="0"/>
              <w:right w:val="single" w:color="auto" w:sz="4" w:space="0"/>
            </w:tcBorders>
            <w:noWrap/>
            <w:vAlign w:val="center"/>
          </w:tcPr>
          <w:p w14:paraId="6A74A2FD">
            <w:pPr>
              <w:widowControl/>
              <w:jc w:val="center"/>
              <w:rPr>
                <w:rFonts w:ascii="Times New Roman" w:hAnsi="Times New Roman"/>
                <w:color w:val="000000"/>
                <w:kern w:val="0"/>
                <w:szCs w:val="21"/>
              </w:rPr>
            </w:pPr>
            <w:r>
              <w:rPr>
                <w:rFonts w:hint="eastAsia" w:ascii="Times New Roman" w:hAnsi="Times New Roman"/>
                <w:color w:val="000000"/>
                <w:kern w:val="0"/>
                <w:szCs w:val="21"/>
              </w:rPr>
              <w:t>8</w:t>
            </w:r>
          </w:p>
        </w:tc>
        <w:tc>
          <w:tcPr>
            <w:tcW w:w="851" w:type="dxa"/>
            <w:tcBorders>
              <w:top w:val="nil"/>
              <w:left w:val="nil"/>
              <w:bottom w:val="single" w:color="auto" w:sz="4" w:space="0"/>
              <w:right w:val="single" w:color="auto" w:sz="4" w:space="0"/>
            </w:tcBorders>
            <w:noWrap/>
            <w:vAlign w:val="center"/>
          </w:tcPr>
          <w:p w14:paraId="56E2EBF1">
            <w:pPr>
              <w:widowControl/>
              <w:jc w:val="center"/>
              <w:rPr>
                <w:rFonts w:ascii="Times New Roman" w:hAnsi="Times New Roman"/>
                <w:color w:val="000000"/>
                <w:kern w:val="0"/>
                <w:szCs w:val="21"/>
              </w:rPr>
            </w:pPr>
            <w:r>
              <w:rPr>
                <w:rFonts w:hint="eastAsia" w:ascii="Times New Roman" w:hAnsi="Times New Roman"/>
                <w:color w:val="000000"/>
                <w:kern w:val="0"/>
                <w:szCs w:val="21"/>
              </w:rPr>
              <w:t>29</w:t>
            </w:r>
          </w:p>
        </w:tc>
        <w:tc>
          <w:tcPr>
            <w:tcW w:w="847" w:type="dxa"/>
            <w:tcBorders>
              <w:top w:val="nil"/>
              <w:left w:val="nil"/>
              <w:bottom w:val="single" w:color="auto" w:sz="4" w:space="0"/>
              <w:right w:val="single" w:color="auto" w:sz="4" w:space="0"/>
            </w:tcBorders>
            <w:noWrap/>
            <w:vAlign w:val="center"/>
          </w:tcPr>
          <w:p w14:paraId="00206637">
            <w:pPr>
              <w:widowControl/>
              <w:jc w:val="center"/>
              <w:rPr>
                <w:rFonts w:ascii="Times New Roman" w:hAnsi="Times New Roman"/>
                <w:color w:val="000000"/>
                <w:kern w:val="0"/>
                <w:szCs w:val="21"/>
              </w:rPr>
            </w:pPr>
            <w:r>
              <w:rPr>
                <w:rFonts w:hint="eastAsia" w:ascii="Times New Roman" w:hAnsi="Times New Roman"/>
                <w:color w:val="000000"/>
                <w:kern w:val="0"/>
                <w:szCs w:val="21"/>
              </w:rPr>
              <w:t>117</w:t>
            </w:r>
          </w:p>
        </w:tc>
        <w:tc>
          <w:tcPr>
            <w:tcW w:w="691" w:type="dxa"/>
            <w:tcBorders>
              <w:top w:val="nil"/>
              <w:left w:val="nil"/>
              <w:bottom w:val="single" w:color="auto" w:sz="4" w:space="0"/>
              <w:right w:val="single" w:color="auto" w:sz="4" w:space="0"/>
            </w:tcBorders>
            <w:noWrap/>
            <w:vAlign w:val="center"/>
          </w:tcPr>
          <w:p w14:paraId="725B4FBC">
            <w:pPr>
              <w:widowControl/>
              <w:jc w:val="center"/>
              <w:rPr>
                <w:rFonts w:ascii="Times New Roman" w:hAnsi="Times New Roman"/>
                <w:color w:val="000000"/>
                <w:kern w:val="0"/>
                <w:szCs w:val="21"/>
              </w:rPr>
            </w:pPr>
            <w:r>
              <w:rPr>
                <w:rFonts w:hint="eastAsia" w:ascii="Times New Roman" w:hAnsi="Times New Roman"/>
                <w:color w:val="000000"/>
                <w:kern w:val="0"/>
                <w:szCs w:val="21"/>
              </w:rPr>
              <w:t>701</w:t>
            </w:r>
          </w:p>
        </w:tc>
        <w:tc>
          <w:tcPr>
            <w:tcW w:w="696" w:type="dxa"/>
            <w:tcBorders>
              <w:top w:val="nil"/>
              <w:left w:val="nil"/>
              <w:bottom w:val="single" w:color="auto" w:sz="4" w:space="0"/>
              <w:right w:val="single" w:color="auto" w:sz="4" w:space="0"/>
            </w:tcBorders>
            <w:noWrap/>
            <w:vAlign w:val="center"/>
          </w:tcPr>
          <w:p w14:paraId="79386EF6">
            <w:pPr>
              <w:widowControl/>
              <w:jc w:val="center"/>
              <w:rPr>
                <w:rFonts w:ascii="Times New Roman" w:hAnsi="Times New Roman"/>
                <w:color w:val="000000"/>
                <w:kern w:val="0"/>
                <w:szCs w:val="21"/>
              </w:rPr>
            </w:pPr>
            <w:r>
              <w:rPr>
                <w:rFonts w:hint="eastAsia" w:ascii="Times New Roman" w:hAnsi="Times New Roman"/>
                <w:color w:val="000000"/>
                <w:kern w:val="0"/>
                <w:szCs w:val="21"/>
              </w:rPr>
              <w:t>1588</w:t>
            </w:r>
          </w:p>
        </w:tc>
      </w:tr>
      <w:tr w14:paraId="4EF91C4D">
        <w:tblPrEx>
          <w:tblCellMar>
            <w:top w:w="0" w:type="dxa"/>
            <w:left w:w="108" w:type="dxa"/>
            <w:bottom w:w="0" w:type="dxa"/>
            <w:right w:w="108" w:type="dxa"/>
          </w:tblCellMar>
        </w:tblPrEx>
        <w:trPr>
          <w:trHeight w:val="315" w:hRule="atLeast"/>
        </w:trPr>
        <w:tc>
          <w:tcPr>
            <w:tcW w:w="567" w:type="dxa"/>
            <w:tcBorders>
              <w:top w:val="nil"/>
              <w:left w:val="single" w:color="auto" w:sz="4" w:space="0"/>
              <w:bottom w:val="single" w:color="auto" w:sz="4" w:space="0"/>
              <w:right w:val="single" w:color="auto" w:sz="4" w:space="0"/>
            </w:tcBorders>
            <w:noWrap/>
            <w:vAlign w:val="center"/>
          </w:tcPr>
          <w:p w14:paraId="6FD8F6B5">
            <w:pPr>
              <w:widowControl/>
              <w:jc w:val="center"/>
              <w:rPr>
                <w:rFonts w:ascii="Times New Roman" w:hAnsi="Times New Roman"/>
                <w:color w:val="000000"/>
                <w:kern w:val="0"/>
                <w:szCs w:val="21"/>
              </w:rPr>
            </w:pPr>
            <w:r>
              <w:rPr>
                <w:rFonts w:ascii="Times New Roman" w:hAnsi="Times New Roman"/>
                <w:color w:val="000000"/>
                <w:kern w:val="0"/>
                <w:szCs w:val="21"/>
              </w:rPr>
              <w:t>4</w:t>
            </w:r>
          </w:p>
        </w:tc>
        <w:tc>
          <w:tcPr>
            <w:tcW w:w="567" w:type="dxa"/>
            <w:tcBorders>
              <w:top w:val="nil"/>
              <w:left w:val="nil"/>
              <w:bottom w:val="single" w:color="auto" w:sz="4" w:space="0"/>
              <w:right w:val="single" w:color="auto" w:sz="4" w:space="0"/>
            </w:tcBorders>
            <w:noWrap/>
            <w:vAlign w:val="center"/>
          </w:tcPr>
          <w:p w14:paraId="4F790CAF">
            <w:pPr>
              <w:widowControl/>
              <w:jc w:val="center"/>
              <w:rPr>
                <w:rFonts w:ascii="Times New Roman" w:hAnsi="Times New Roman"/>
                <w:color w:val="000000"/>
                <w:kern w:val="0"/>
                <w:szCs w:val="21"/>
              </w:rPr>
            </w:pPr>
            <w:r>
              <w:rPr>
                <w:rFonts w:ascii="Times New Roman" w:hAnsi="Times New Roman"/>
                <w:color w:val="000000"/>
                <w:kern w:val="0"/>
                <w:szCs w:val="21"/>
              </w:rPr>
              <w:t>D</w:t>
            </w:r>
          </w:p>
        </w:tc>
        <w:tc>
          <w:tcPr>
            <w:tcW w:w="2127" w:type="dxa"/>
            <w:tcBorders>
              <w:top w:val="nil"/>
              <w:left w:val="nil"/>
              <w:bottom w:val="single" w:color="auto" w:sz="4" w:space="0"/>
              <w:right w:val="single" w:color="auto" w:sz="4" w:space="0"/>
            </w:tcBorders>
            <w:noWrap/>
            <w:vAlign w:val="center"/>
          </w:tcPr>
          <w:p w14:paraId="0C27F058">
            <w:pPr>
              <w:widowControl/>
              <w:jc w:val="left"/>
              <w:rPr>
                <w:rFonts w:ascii="宋体" w:hAnsi="宋体" w:cs="宋体"/>
                <w:color w:val="000000"/>
                <w:kern w:val="0"/>
                <w:szCs w:val="21"/>
              </w:rPr>
            </w:pPr>
            <w:r>
              <w:rPr>
                <w:rFonts w:hint="eastAsia" w:ascii="宋体" w:hAnsi="宋体" w:cs="宋体"/>
                <w:color w:val="000000"/>
                <w:kern w:val="0"/>
                <w:szCs w:val="21"/>
              </w:rPr>
              <w:t>电力、燃气及水的生产和供应业</w:t>
            </w:r>
          </w:p>
        </w:tc>
        <w:tc>
          <w:tcPr>
            <w:tcW w:w="708" w:type="dxa"/>
            <w:tcBorders>
              <w:top w:val="nil"/>
              <w:left w:val="nil"/>
              <w:bottom w:val="single" w:color="auto" w:sz="4" w:space="0"/>
              <w:right w:val="single" w:color="auto" w:sz="4" w:space="0"/>
            </w:tcBorders>
            <w:noWrap/>
            <w:vAlign w:val="center"/>
          </w:tcPr>
          <w:p w14:paraId="46D71023">
            <w:pPr>
              <w:widowControl/>
              <w:jc w:val="center"/>
              <w:rPr>
                <w:rFonts w:ascii="Times New Roman" w:hAnsi="Times New Roman"/>
                <w:color w:val="000000"/>
                <w:kern w:val="0"/>
                <w:szCs w:val="21"/>
              </w:rPr>
            </w:pPr>
            <w:r>
              <w:rPr>
                <w:rFonts w:hint="eastAsia" w:ascii="Times New Roman" w:hAnsi="Times New Roman"/>
                <w:color w:val="000000"/>
                <w:kern w:val="0"/>
                <w:szCs w:val="21"/>
              </w:rPr>
              <w:t>5</w:t>
            </w:r>
          </w:p>
        </w:tc>
        <w:tc>
          <w:tcPr>
            <w:tcW w:w="696" w:type="dxa"/>
            <w:tcBorders>
              <w:top w:val="nil"/>
              <w:left w:val="nil"/>
              <w:bottom w:val="single" w:color="auto" w:sz="4" w:space="0"/>
              <w:right w:val="single" w:color="auto" w:sz="4" w:space="0"/>
            </w:tcBorders>
            <w:noWrap/>
            <w:vAlign w:val="center"/>
          </w:tcPr>
          <w:p w14:paraId="13201394">
            <w:pPr>
              <w:widowControl/>
              <w:jc w:val="center"/>
              <w:rPr>
                <w:rFonts w:ascii="Times New Roman" w:hAnsi="Times New Roman"/>
                <w:color w:val="000000"/>
                <w:kern w:val="0"/>
                <w:szCs w:val="21"/>
              </w:rPr>
            </w:pPr>
            <w:r>
              <w:rPr>
                <w:rFonts w:hint="eastAsia" w:ascii="Times New Roman" w:hAnsi="Times New Roman"/>
                <w:color w:val="000000"/>
                <w:kern w:val="0"/>
                <w:szCs w:val="21"/>
              </w:rPr>
              <w:t>99</w:t>
            </w:r>
          </w:p>
        </w:tc>
        <w:tc>
          <w:tcPr>
            <w:tcW w:w="721" w:type="dxa"/>
            <w:tcBorders>
              <w:top w:val="nil"/>
              <w:left w:val="nil"/>
              <w:bottom w:val="single" w:color="auto" w:sz="4" w:space="0"/>
              <w:right w:val="single" w:color="auto" w:sz="4" w:space="0"/>
            </w:tcBorders>
            <w:noWrap/>
            <w:vAlign w:val="center"/>
          </w:tcPr>
          <w:p w14:paraId="69EDDF24">
            <w:pPr>
              <w:widowControl/>
              <w:jc w:val="center"/>
              <w:rPr>
                <w:rFonts w:ascii="Times New Roman" w:hAnsi="Times New Roman"/>
                <w:color w:val="000000"/>
                <w:kern w:val="0"/>
                <w:szCs w:val="21"/>
              </w:rPr>
            </w:pPr>
          </w:p>
        </w:tc>
        <w:tc>
          <w:tcPr>
            <w:tcW w:w="851" w:type="dxa"/>
            <w:tcBorders>
              <w:top w:val="nil"/>
              <w:left w:val="nil"/>
              <w:bottom w:val="single" w:color="auto" w:sz="4" w:space="0"/>
              <w:right w:val="single" w:color="auto" w:sz="4" w:space="0"/>
            </w:tcBorders>
            <w:noWrap/>
            <w:vAlign w:val="center"/>
          </w:tcPr>
          <w:p w14:paraId="31FC87A8">
            <w:pPr>
              <w:widowControl/>
              <w:jc w:val="center"/>
              <w:rPr>
                <w:rFonts w:ascii="Times New Roman" w:hAnsi="Times New Roman"/>
                <w:color w:val="000000"/>
                <w:kern w:val="0"/>
                <w:szCs w:val="21"/>
              </w:rPr>
            </w:pPr>
            <w:r>
              <w:rPr>
                <w:rFonts w:hint="eastAsia" w:ascii="Times New Roman" w:hAnsi="Times New Roman"/>
                <w:color w:val="000000"/>
                <w:kern w:val="0"/>
                <w:szCs w:val="21"/>
              </w:rPr>
              <w:t>3</w:t>
            </w:r>
          </w:p>
        </w:tc>
        <w:tc>
          <w:tcPr>
            <w:tcW w:w="847" w:type="dxa"/>
            <w:tcBorders>
              <w:top w:val="nil"/>
              <w:left w:val="nil"/>
              <w:bottom w:val="single" w:color="auto" w:sz="4" w:space="0"/>
              <w:right w:val="single" w:color="auto" w:sz="4" w:space="0"/>
            </w:tcBorders>
            <w:noWrap/>
            <w:vAlign w:val="center"/>
          </w:tcPr>
          <w:p w14:paraId="42C7AD6B">
            <w:pPr>
              <w:widowControl/>
              <w:jc w:val="center"/>
              <w:rPr>
                <w:rFonts w:ascii="Times New Roman" w:hAnsi="Times New Roman"/>
                <w:color w:val="000000"/>
                <w:kern w:val="0"/>
                <w:szCs w:val="21"/>
              </w:rPr>
            </w:pPr>
            <w:r>
              <w:rPr>
                <w:rFonts w:hint="eastAsia" w:ascii="Times New Roman" w:hAnsi="Times New Roman"/>
                <w:color w:val="000000"/>
                <w:kern w:val="0"/>
                <w:szCs w:val="21"/>
              </w:rPr>
              <w:t>1</w:t>
            </w:r>
          </w:p>
        </w:tc>
        <w:tc>
          <w:tcPr>
            <w:tcW w:w="691" w:type="dxa"/>
            <w:tcBorders>
              <w:top w:val="nil"/>
              <w:left w:val="nil"/>
              <w:bottom w:val="single" w:color="auto" w:sz="4" w:space="0"/>
              <w:right w:val="single" w:color="auto" w:sz="4" w:space="0"/>
            </w:tcBorders>
            <w:noWrap/>
            <w:vAlign w:val="center"/>
          </w:tcPr>
          <w:p w14:paraId="5E7BD013">
            <w:pPr>
              <w:widowControl/>
              <w:jc w:val="center"/>
              <w:rPr>
                <w:rFonts w:ascii="Times New Roman" w:hAnsi="Times New Roman"/>
                <w:color w:val="000000"/>
                <w:kern w:val="0"/>
                <w:szCs w:val="21"/>
              </w:rPr>
            </w:pPr>
            <w:r>
              <w:rPr>
                <w:rFonts w:hint="eastAsia" w:ascii="Times New Roman" w:hAnsi="Times New Roman"/>
                <w:color w:val="000000"/>
                <w:kern w:val="0"/>
                <w:szCs w:val="21"/>
              </w:rPr>
              <w:t>8</w:t>
            </w:r>
          </w:p>
        </w:tc>
        <w:tc>
          <w:tcPr>
            <w:tcW w:w="696" w:type="dxa"/>
            <w:tcBorders>
              <w:top w:val="nil"/>
              <w:left w:val="nil"/>
              <w:bottom w:val="single" w:color="auto" w:sz="4" w:space="0"/>
              <w:right w:val="single" w:color="auto" w:sz="4" w:space="0"/>
            </w:tcBorders>
            <w:noWrap/>
            <w:vAlign w:val="center"/>
          </w:tcPr>
          <w:p w14:paraId="1D3031E5">
            <w:pPr>
              <w:widowControl/>
              <w:jc w:val="center"/>
              <w:rPr>
                <w:rFonts w:ascii="Times New Roman" w:hAnsi="Times New Roman"/>
                <w:color w:val="000000"/>
                <w:kern w:val="0"/>
                <w:szCs w:val="21"/>
              </w:rPr>
            </w:pPr>
            <w:r>
              <w:rPr>
                <w:rFonts w:hint="eastAsia" w:ascii="Times New Roman" w:hAnsi="Times New Roman"/>
                <w:color w:val="000000"/>
                <w:kern w:val="0"/>
                <w:szCs w:val="21"/>
              </w:rPr>
              <w:t>58</w:t>
            </w:r>
          </w:p>
        </w:tc>
      </w:tr>
      <w:tr w14:paraId="729813A4">
        <w:tblPrEx>
          <w:tblCellMar>
            <w:top w:w="0" w:type="dxa"/>
            <w:left w:w="108" w:type="dxa"/>
            <w:bottom w:w="0" w:type="dxa"/>
            <w:right w:w="108" w:type="dxa"/>
          </w:tblCellMar>
        </w:tblPrEx>
        <w:trPr>
          <w:trHeight w:val="315" w:hRule="atLeast"/>
        </w:trPr>
        <w:tc>
          <w:tcPr>
            <w:tcW w:w="567" w:type="dxa"/>
            <w:tcBorders>
              <w:top w:val="nil"/>
              <w:left w:val="single" w:color="auto" w:sz="4" w:space="0"/>
              <w:bottom w:val="single" w:color="auto" w:sz="4" w:space="0"/>
              <w:right w:val="single" w:color="auto" w:sz="4" w:space="0"/>
            </w:tcBorders>
            <w:noWrap/>
            <w:vAlign w:val="center"/>
          </w:tcPr>
          <w:p w14:paraId="0C8F2DBF">
            <w:pPr>
              <w:widowControl/>
              <w:jc w:val="center"/>
              <w:rPr>
                <w:rFonts w:ascii="Times New Roman" w:hAnsi="Times New Roman"/>
                <w:color w:val="000000"/>
                <w:kern w:val="0"/>
                <w:szCs w:val="21"/>
              </w:rPr>
            </w:pPr>
            <w:r>
              <w:rPr>
                <w:rFonts w:ascii="Times New Roman" w:hAnsi="Times New Roman"/>
                <w:color w:val="000000"/>
                <w:kern w:val="0"/>
                <w:szCs w:val="21"/>
              </w:rPr>
              <w:t>5</w:t>
            </w:r>
          </w:p>
        </w:tc>
        <w:tc>
          <w:tcPr>
            <w:tcW w:w="567" w:type="dxa"/>
            <w:tcBorders>
              <w:top w:val="nil"/>
              <w:left w:val="nil"/>
              <w:bottom w:val="single" w:color="auto" w:sz="4" w:space="0"/>
              <w:right w:val="single" w:color="auto" w:sz="4" w:space="0"/>
            </w:tcBorders>
            <w:noWrap/>
            <w:vAlign w:val="center"/>
          </w:tcPr>
          <w:p w14:paraId="2B2361EC">
            <w:pPr>
              <w:widowControl/>
              <w:jc w:val="center"/>
              <w:rPr>
                <w:rFonts w:ascii="Times New Roman" w:hAnsi="Times New Roman"/>
                <w:color w:val="000000"/>
                <w:kern w:val="0"/>
                <w:szCs w:val="21"/>
              </w:rPr>
            </w:pPr>
            <w:r>
              <w:rPr>
                <w:rFonts w:ascii="Times New Roman" w:hAnsi="Times New Roman"/>
                <w:color w:val="000000"/>
                <w:kern w:val="0"/>
                <w:szCs w:val="21"/>
              </w:rPr>
              <w:t>E</w:t>
            </w:r>
          </w:p>
        </w:tc>
        <w:tc>
          <w:tcPr>
            <w:tcW w:w="2127" w:type="dxa"/>
            <w:tcBorders>
              <w:top w:val="nil"/>
              <w:left w:val="nil"/>
              <w:bottom w:val="single" w:color="auto" w:sz="4" w:space="0"/>
              <w:right w:val="single" w:color="auto" w:sz="4" w:space="0"/>
            </w:tcBorders>
            <w:noWrap/>
            <w:vAlign w:val="center"/>
          </w:tcPr>
          <w:p w14:paraId="4371A6EC">
            <w:pPr>
              <w:widowControl/>
              <w:jc w:val="left"/>
              <w:rPr>
                <w:rFonts w:ascii="宋体" w:hAnsi="宋体" w:cs="宋体"/>
                <w:color w:val="000000"/>
                <w:kern w:val="0"/>
                <w:szCs w:val="21"/>
              </w:rPr>
            </w:pPr>
            <w:r>
              <w:rPr>
                <w:rFonts w:hint="eastAsia" w:ascii="宋体" w:hAnsi="宋体" w:cs="宋体"/>
                <w:color w:val="000000"/>
                <w:kern w:val="0"/>
                <w:szCs w:val="21"/>
              </w:rPr>
              <w:t>建筑业</w:t>
            </w:r>
          </w:p>
        </w:tc>
        <w:tc>
          <w:tcPr>
            <w:tcW w:w="708" w:type="dxa"/>
            <w:tcBorders>
              <w:top w:val="nil"/>
              <w:left w:val="nil"/>
              <w:bottom w:val="single" w:color="auto" w:sz="4" w:space="0"/>
              <w:right w:val="single" w:color="auto" w:sz="4" w:space="0"/>
            </w:tcBorders>
            <w:noWrap/>
            <w:vAlign w:val="center"/>
          </w:tcPr>
          <w:p w14:paraId="6720E7B2">
            <w:pPr>
              <w:widowControl/>
              <w:jc w:val="center"/>
              <w:rPr>
                <w:rFonts w:ascii="Times New Roman" w:hAnsi="Times New Roman"/>
                <w:color w:val="000000"/>
                <w:kern w:val="0"/>
                <w:szCs w:val="21"/>
              </w:rPr>
            </w:pPr>
            <w:r>
              <w:rPr>
                <w:rFonts w:hint="eastAsia" w:ascii="Times New Roman" w:hAnsi="Times New Roman"/>
                <w:color w:val="000000"/>
                <w:kern w:val="0"/>
                <w:szCs w:val="21"/>
              </w:rPr>
              <w:t>9</w:t>
            </w:r>
          </w:p>
        </w:tc>
        <w:tc>
          <w:tcPr>
            <w:tcW w:w="696" w:type="dxa"/>
            <w:tcBorders>
              <w:top w:val="nil"/>
              <w:left w:val="nil"/>
              <w:bottom w:val="single" w:color="auto" w:sz="4" w:space="0"/>
              <w:right w:val="single" w:color="auto" w:sz="4" w:space="0"/>
            </w:tcBorders>
            <w:noWrap/>
            <w:vAlign w:val="center"/>
          </w:tcPr>
          <w:p w14:paraId="28A2813D">
            <w:pPr>
              <w:widowControl/>
              <w:jc w:val="center"/>
              <w:rPr>
                <w:rFonts w:ascii="Times New Roman" w:hAnsi="Times New Roman"/>
                <w:color w:val="000000"/>
                <w:kern w:val="0"/>
                <w:szCs w:val="21"/>
              </w:rPr>
            </w:pPr>
            <w:r>
              <w:rPr>
                <w:rFonts w:ascii="Times New Roman" w:hAnsi="Times New Roman"/>
                <w:color w:val="000000"/>
                <w:kern w:val="0"/>
                <w:szCs w:val="21"/>
              </w:rPr>
              <w:t>2</w:t>
            </w:r>
            <w:r>
              <w:rPr>
                <w:rFonts w:hint="eastAsia" w:ascii="Times New Roman" w:hAnsi="Times New Roman"/>
                <w:color w:val="000000"/>
                <w:kern w:val="0"/>
                <w:szCs w:val="21"/>
              </w:rPr>
              <w:t>2</w:t>
            </w:r>
          </w:p>
        </w:tc>
        <w:tc>
          <w:tcPr>
            <w:tcW w:w="721" w:type="dxa"/>
            <w:tcBorders>
              <w:top w:val="nil"/>
              <w:left w:val="nil"/>
              <w:bottom w:val="single" w:color="auto" w:sz="4" w:space="0"/>
              <w:right w:val="single" w:color="auto" w:sz="4" w:space="0"/>
            </w:tcBorders>
            <w:noWrap/>
            <w:vAlign w:val="center"/>
          </w:tcPr>
          <w:p w14:paraId="38186563">
            <w:pPr>
              <w:widowControl/>
              <w:jc w:val="center"/>
              <w:rPr>
                <w:rFonts w:ascii="Times New Roman" w:hAnsi="Times New Roman"/>
                <w:color w:val="000000"/>
                <w:kern w:val="0"/>
                <w:szCs w:val="21"/>
              </w:rPr>
            </w:pPr>
            <w:r>
              <w:rPr>
                <w:rFonts w:ascii="Times New Roman" w:hAnsi="Times New Roman"/>
                <w:color w:val="000000"/>
                <w:kern w:val="0"/>
                <w:szCs w:val="21"/>
              </w:rPr>
              <w:t>　</w:t>
            </w:r>
          </w:p>
        </w:tc>
        <w:tc>
          <w:tcPr>
            <w:tcW w:w="851" w:type="dxa"/>
            <w:tcBorders>
              <w:top w:val="nil"/>
              <w:left w:val="nil"/>
              <w:bottom w:val="single" w:color="auto" w:sz="4" w:space="0"/>
              <w:right w:val="single" w:color="auto" w:sz="4" w:space="0"/>
            </w:tcBorders>
            <w:noWrap/>
            <w:vAlign w:val="center"/>
          </w:tcPr>
          <w:p w14:paraId="23D889BE">
            <w:pPr>
              <w:widowControl/>
              <w:jc w:val="center"/>
              <w:rPr>
                <w:rFonts w:ascii="Times New Roman" w:hAnsi="Times New Roman"/>
                <w:color w:val="000000"/>
                <w:kern w:val="0"/>
                <w:szCs w:val="21"/>
              </w:rPr>
            </w:pPr>
            <w:r>
              <w:rPr>
                <w:rFonts w:hint="eastAsia" w:ascii="Times New Roman" w:hAnsi="Times New Roman"/>
                <w:color w:val="000000"/>
                <w:kern w:val="0"/>
                <w:szCs w:val="21"/>
              </w:rPr>
              <w:t>2</w:t>
            </w:r>
          </w:p>
        </w:tc>
        <w:tc>
          <w:tcPr>
            <w:tcW w:w="847" w:type="dxa"/>
            <w:tcBorders>
              <w:top w:val="nil"/>
              <w:left w:val="nil"/>
              <w:bottom w:val="single" w:color="auto" w:sz="4" w:space="0"/>
              <w:right w:val="single" w:color="auto" w:sz="4" w:space="0"/>
            </w:tcBorders>
            <w:noWrap/>
            <w:vAlign w:val="center"/>
          </w:tcPr>
          <w:p w14:paraId="7105E00F">
            <w:pPr>
              <w:widowControl/>
              <w:jc w:val="center"/>
              <w:rPr>
                <w:rFonts w:ascii="Times New Roman" w:hAnsi="Times New Roman"/>
                <w:color w:val="000000"/>
                <w:kern w:val="0"/>
                <w:szCs w:val="21"/>
              </w:rPr>
            </w:pPr>
            <w:r>
              <w:rPr>
                <w:rFonts w:hint="eastAsia" w:ascii="Times New Roman" w:hAnsi="Times New Roman"/>
                <w:color w:val="000000"/>
                <w:kern w:val="0"/>
                <w:szCs w:val="21"/>
              </w:rPr>
              <w:t>2</w:t>
            </w:r>
          </w:p>
        </w:tc>
        <w:tc>
          <w:tcPr>
            <w:tcW w:w="691" w:type="dxa"/>
            <w:tcBorders>
              <w:top w:val="nil"/>
              <w:left w:val="nil"/>
              <w:bottom w:val="single" w:color="auto" w:sz="4" w:space="0"/>
              <w:right w:val="single" w:color="auto" w:sz="4" w:space="0"/>
            </w:tcBorders>
            <w:noWrap/>
            <w:vAlign w:val="center"/>
          </w:tcPr>
          <w:p w14:paraId="6D8F3657">
            <w:pPr>
              <w:widowControl/>
              <w:jc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1</w:t>
            </w:r>
          </w:p>
        </w:tc>
        <w:tc>
          <w:tcPr>
            <w:tcW w:w="696" w:type="dxa"/>
            <w:tcBorders>
              <w:top w:val="nil"/>
              <w:left w:val="nil"/>
              <w:bottom w:val="single" w:color="auto" w:sz="4" w:space="0"/>
              <w:right w:val="single" w:color="auto" w:sz="4" w:space="0"/>
            </w:tcBorders>
            <w:noWrap/>
            <w:vAlign w:val="center"/>
          </w:tcPr>
          <w:p w14:paraId="0FDCF2EF">
            <w:pPr>
              <w:widowControl/>
              <w:jc w:val="center"/>
              <w:rPr>
                <w:rFonts w:ascii="Times New Roman" w:hAnsi="Times New Roman"/>
                <w:color w:val="000000"/>
                <w:kern w:val="0"/>
                <w:szCs w:val="21"/>
              </w:rPr>
            </w:pPr>
            <w:r>
              <w:rPr>
                <w:rFonts w:ascii="Times New Roman" w:hAnsi="Times New Roman"/>
                <w:color w:val="000000"/>
                <w:kern w:val="0"/>
                <w:szCs w:val="21"/>
              </w:rPr>
              <w:t>2</w:t>
            </w:r>
            <w:r>
              <w:rPr>
                <w:rFonts w:hint="eastAsia" w:ascii="Times New Roman" w:hAnsi="Times New Roman"/>
                <w:color w:val="000000"/>
                <w:kern w:val="0"/>
                <w:szCs w:val="21"/>
              </w:rPr>
              <w:t>4</w:t>
            </w:r>
          </w:p>
        </w:tc>
      </w:tr>
      <w:tr w14:paraId="546DE9D1">
        <w:tblPrEx>
          <w:tblCellMar>
            <w:top w:w="0" w:type="dxa"/>
            <w:left w:w="108" w:type="dxa"/>
            <w:bottom w:w="0" w:type="dxa"/>
            <w:right w:w="108" w:type="dxa"/>
          </w:tblCellMar>
        </w:tblPrEx>
        <w:trPr>
          <w:trHeight w:val="315" w:hRule="atLeast"/>
        </w:trPr>
        <w:tc>
          <w:tcPr>
            <w:tcW w:w="567" w:type="dxa"/>
            <w:tcBorders>
              <w:top w:val="nil"/>
              <w:left w:val="single" w:color="auto" w:sz="4" w:space="0"/>
              <w:bottom w:val="single" w:color="auto" w:sz="4" w:space="0"/>
              <w:right w:val="single" w:color="auto" w:sz="4" w:space="0"/>
            </w:tcBorders>
            <w:noWrap/>
            <w:vAlign w:val="center"/>
          </w:tcPr>
          <w:p w14:paraId="0FDDACAD">
            <w:pPr>
              <w:widowControl/>
              <w:jc w:val="center"/>
              <w:rPr>
                <w:rFonts w:ascii="Times New Roman" w:hAnsi="Times New Roman"/>
                <w:color w:val="000000"/>
                <w:kern w:val="0"/>
                <w:szCs w:val="21"/>
              </w:rPr>
            </w:pPr>
            <w:r>
              <w:rPr>
                <w:rFonts w:ascii="Times New Roman" w:hAnsi="Times New Roman"/>
                <w:color w:val="000000"/>
                <w:kern w:val="0"/>
                <w:szCs w:val="21"/>
              </w:rPr>
              <w:t>6</w:t>
            </w:r>
          </w:p>
        </w:tc>
        <w:tc>
          <w:tcPr>
            <w:tcW w:w="567" w:type="dxa"/>
            <w:tcBorders>
              <w:top w:val="nil"/>
              <w:left w:val="nil"/>
              <w:bottom w:val="single" w:color="auto" w:sz="4" w:space="0"/>
              <w:right w:val="single" w:color="auto" w:sz="4" w:space="0"/>
            </w:tcBorders>
            <w:noWrap/>
            <w:vAlign w:val="center"/>
          </w:tcPr>
          <w:p w14:paraId="5E852B4B">
            <w:pPr>
              <w:widowControl/>
              <w:jc w:val="center"/>
              <w:rPr>
                <w:rFonts w:ascii="Times New Roman" w:hAnsi="Times New Roman"/>
                <w:color w:val="000000"/>
                <w:kern w:val="0"/>
                <w:szCs w:val="21"/>
              </w:rPr>
            </w:pPr>
            <w:r>
              <w:rPr>
                <w:rFonts w:ascii="Times New Roman" w:hAnsi="Times New Roman"/>
                <w:color w:val="000000"/>
                <w:kern w:val="0"/>
                <w:szCs w:val="21"/>
              </w:rPr>
              <w:t>F</w:t>
            </w:r>
          </w:p>
        </w:tc>
        <w:tc>
          <w:tcPr>
            <w:tcW w:w="2127" w:type="dxa"/>
            <w:tcBorders>
              <w:top w:val="nil"/>
              <w:left w:val="nil"/>
              <w:bottom w:val="single" w:color="auto" w:sz="4" w:space="0"/>
              <w:right w:val="single" w:color="auto" w:sz="4" w:space="0"/>
            </w:tcBorders>
            <w:noWrap/>
            <w:vAlign w:val="center"/>
          </w:tcPr>
          <w:p w14:paraId="4927C927">
            <w:pPr>
              <w:widowControl/>
              <w:jc w:val="left"/>
              <w:rPr>
                <w:rFonts w:ascii="宋体" w:hAnsi="宋体" w:cs="宋体"/>
                <w:color w:val="000000"/>
                <w:kern w:val="0"/>
                <w:szCs w:val="21"/>
              </w:rPr>
            </w:pPr>
            <w:r>
              <w:rPr>
                <w:rFonts w:hint="eastAsia" w:ascii="宋体" w:hAnsi="宋体" w:cs="宋体"/>
                <w:color w:val="000000"/>
                <w:kern w:val="0"/>
                <w:szCs w:val="21"/>
              </w:rPr>
              <w:t>批发和零售业</w:t>
            </w:r>
          </w:p>
        </w:tc>
        <w:tc>
          <w:tcPr>
            <w:tcW w:w="708" w:type="dxa"/>
            <w:tcBorders>
              <w:top w:val="nil"/>
              <w:left w:val="nil"/>
              <w:bottom w:val="single" w:color="auto" w:sz="4" w:space="0"/>
              <w:right w:val="single" w:color="auto" w:sz="4" w:space="0"/>
            </w:tcBorders>
            <w:noWrap/>
            <w:vAlign w:val="center"/>
          </w:tcPr>
          <w:p w14:paraId="72A47EEF">
            <w:pPr>
              <w:widowControl/>
              <w:jc w:val="center"/>
              <w:rPr>
                <w:rFonts w:ascii="Times New Roman" w:hAnsi="Times New Roman"/>
                <w:color w:val="000000"/>
                <w:kern w:val="0"/>
                <w:szCs w:val="21"/>
              </w:rPr>
            </w:pPr>
            <w:r>
              <w:rPr>
                <w:rFonts w:hint="eastAsia" w:ascii="Times New Roman" w:hAnsi="Times New Roman"/>
                <w:color w:val="000000"/>
                <w:kern w:val="0"/>
                <w:szCs w:val="21"/>
              </w:rPr>
              <w:t>6</w:t>
            </w:r>
          </w:p>
        </w:tc>
        <w:tc>
          <w:tcPr>
            <w:tcW w:w="696" w:type="dxa"/>
            <w:tcBorders>
              <w:top w:val="nil"/>
              <w:left w:val="nil"/>
              <w:bottom w:val="single" w:color="auto" w:sz="4" w:space="0"/>
              <w:right w:val="single" w:color="auto" w:sz="4" w:space="0"/>
            </w:tcBorders>
            <w:noWrap/>
            <w:vAlign w:val="center"/>
          </w:tcPr>
          <w:p w14:paraId="57E57C33">
            <w:pPr>
              <w:widowControl/>
              <w:jc w:val="center"/>
              <w:rPr>
                <w:rFonts w:ascii="Times New Roman" w:hAnsi="Times New Roman"/>
                <w:color w:val="000000"/>
                <w:kern w:val="0"/>
                <w:szCs w:val="21"/>
              </w:rPr>
            </w:pPr>
            <w:r>
              <w:rPr>
                <w:rFonts w:hint="eastAsia" w:ascii="Times New Roman" w:hAnsi="Times New Roman"/>
                <w:color w:val="000000"/>
                <w:kern w:val="0"/>
                <w:szCs w:val="21"/>
              </w:rPr>
              <w:t>12</w:t>
            </w:r>
          </w:p>
        </w:tc>
        <w:tc>
          <w:tcPr>
            <w:tcW w:w="721" w:type="dxa"/>
            <w:tcBorders>
              <w:top w:val="nil"/>
              <w:left w:val="nil"/>
              <w:bottom w:val="single" w:color="auto" w:sz="4" w:space="0"/>
              <w:right w:val="single" w:color="auto" w:sz="4" w:space="0"/>
            </w:tcBorders>
            <w:noWrap/>
            <w:vAlign w:val="center"/>
          </w:tcPr>
          <w:p w14:paraId="4535CF75">
            <w:pPr>
              <w:widowControl/>
              <w:jc w:val="center"/>
              <w:rPr>
                <w:rFonts w:ascii="Times New Roman" w:hAnsi="Times New Roman"/>
                <w:color w:val="000000"/>
                <w:kern w:val="0"/>
                <w:szCs w:val="21"/>
              </w:rPr>
            </w:pPr>
            <w:r>
              <w:rPr>
                <w:rFonts w:hint="eastAsia" w:ascii="Times New Roman" w:hAnsi="Times New Roman"/>
                <w:color w:val="000000"/>
                <w:kern w:val="0"/>
                <w:szCs w:val="21"/>
              </w:rPr>
              <w:t>3</w:t>
            </w:r>
            <w:r>
              <w:rPr>
                <w:rFonts w:ascii="Times New Roman" w:hAnsi="Times New Roman"/>
                <w:color w:val="000000"/>
                <w:kern w:val="0"/>
                <w:szCs w:val="21"/>
              </w:rPr>
              <w:t>　</w:t>
            </w:r>
          </w:p>
        </w:tc>
        <w:tc>
          <w:tcPr>
            <w:tcW w:w="851" w:type="dxa"/>
            <w:tcBorders>
              <w:top w:val="nil"/>
              <w:left w:val="nil"/>
              <w:bottom w:val="single" w:color="auto" w:sz="4" w:space="0"/>
              <w:right w:val="single" w:color="auto" w:sz="4" w:space="0"/>
            </w:tcBorders>
            <w:noWrap/>
            <w:vAlign w:val="center"/>
          </w:tcPr>
          <w:p w14:paraId="71EAD378">
            <w:pPr>
              <w:widowControl/>
              <w:jc w:val="center"/>
              <w:rPr>
                <w:rFonts w:ascii="Times New Roman" w:hAnsi="Times New Roman"/>
                <w:color w:val="000000"/>
                <w:kern w:val="0"/>
                <w:szCs w:val="21"/>
              </w:rPr>
            </w:pPr>
            <w:r>
              <w:rPr>
                <w:rFonts w:ascii="Times New Roman" w:hAnsi="Times New Roman"/>
                <w:color w:val="000000"/>
                <w:kern w:val="0"/>
                <w:szCs w:val="21"/>
              </w:rPr>
              <w:t>　</w:t>
            </w:r>
          </w:p>
        </w:tc>
        <w:tc>
          <w:tcPr>
            <w:tcW w:w="847" w:type="dxa"/>
            <w:tcBorders>
              <w:top w:val="nil"/>
              <w:left w:val="nil"/>
              <w:bottom w:val="single" w:color="auto" w:sz="4" w:space="0"/>
              <w:right w:val="single" w:color="auto" w:sz="4" w:space="0"/>
            </w:tcBorders>
            <w:noWrap/>
            <w:vAlign w:val="center"/>
          </w:tcPr>
          <w:p w14:paraId="3400A37F">
            <w:pPr>
              <w:widowControl/>
              <w:jc w:val="center"/>
              <w:rPr>
                <w:rFonts w:ascii="Times New Roman" w:hAnsi="Times New Roman"/>
                <w:color w:val="000000"/>
                <w:kern w:val="0"/>
                <w:szCs w:val="21"/>
              </w:rPr>
            </w:pPr>
            <w:r>
              <w:rPr>
                <w:rFonts w:hint="eastAsia" w:ascii="Times New Roman" w:hAnsi="Times New Roman"/>
                <w:color w:val="000000"/>
                <w:kern w:val="0"/>
                <w:szCs w:val="21"/>
              </w:rPr>
              <w:t>3</w:t>
            </w:r>
          </w:p>
        </w:tc>
        <w:tc>
          <w:tcPr>
            <w:tcW w:w="691" w:type="dxa"/>
            <w:tcBorders>
              <w:top w:val="nil"/>
              <w:left w:val="nil"/>
              <w:bottom w:val="single" w:color="auto" w:sz="4" w:space="0"/>
              <w:right w:val="single" w:color="auto" w:sz="4" w:space="0"/>
            </w:tcBorders>
            <w:noWrap/>
            <w:vAlign w:val="center"/>
          </w:tcPr>
          <w:p w14:paraId="17FF5E34">
            <w:pPr>
              <w:widowControl/>
              <w:jc w:val="center"/>
              <w:rPr>
                <w:rFonts w:ascii="Times New Roman" w:hAnsi="Times New Roman"/>
                <w:color w:val="000000"/>
                <w:kern w:val="0"/>
                <w:szCs w:val="21"/>
              </w:rPr>
            </w:pPr>
            <w:r>
              <w:rPr>
                <w:rFonts w:hint="eastAsia" w:ascii="Times New Roman" w:hAnsi="Times New Roman"/>
                <w:color w:val="000000"/>
                <w:kern w:val="0"/>
                <w:szCs w:val="21"/>
              </w:rPr>
              <w:t>3</w:t>
            </w:r>
          </w:p>
        </w:tc>
        <w:tc>
          <w:tcPr>
            <w:tcW w:w="696" w:type="dxa"/>
            <w:tcBorders>
              <w:top w:val="nil"/>
              <w:left w:val="nil"/>
              <w:bottom w:val="single" w:color="auto" w:sz="4" w:space="0"/>
              <w:right w:val="single" w:color="auto" w:sz="4" w:space="0"/>
            </w:tcBorders>
            <w:noWrap/>
            <w:vAlign w:val="center"/>
          </w:tcPr>
          <w:p w14:paraId="20999CBF">
            <w:pPr>
              <w:widowControl/>
              <w:jc w:val="center"/>
              <w:rPr>
                <w:rFonts w:ascii="Times New Roman" w:hAnsi="Times New Roman"/>
                <w:color w:val="000000"/>
                <w:kern w:val="0"/>
                <w:szCs w:val="21"/>
              </w:rPr>
            </w:pPr>
            <w:r>
              <w:rPr>
                <w:rFonts w:hint="eastAsia" w:ascii="Times New Roman" w:hAnsi="Times New Roman"/>
                <w:color w:val="000000"/>
                <w:kern w:val="0"/>
                <w:szCs w:val="21"/>
              </w:rPr>
              <w:t>6</w:t>
            </w:r>
          </w:p>
        </w:tc>
      </w:tr>
      <w:tr w14:paraId="7F02B7F9">
        <w:tblPrEx>
          <w:tblCellMar>
            <w:top w:w="0" w:type="dxa"/>
            <w:left w:w="108" w:type="dxa"/>
            <w:bottom w:w="0" w:type="dxa"/>
            <w:right w:w="108" w:type="dxa"/>
          </w:tblCellMar>
        </w:tblPrEx>
        <w:trPr>
          <w:trHeight w:val="315" w:hRule="atLeast"/>
        </w:trPr>
        <w:tc>
          <w:tcPr>
            <w:tcW w:w="567" w:type="dxa"/>
            <w:tcBorders>
              <w:top w:val="nil"/>
              <w:left w:val="single" w:color="auto" w:sz="4" w:space="0"/>
              <w:bottom w:val="single" w:color="auto" w:sz="4" w:space="0"/>
              <w:right w:val="single" w:color="auto" w:sz="4" w:space="0"/>
            </w:tcBorders>
            <w:noWrap/>
            <w:vAlign w:val="center"/>
          </w:tcPr>
          <w:p w14:paraId="27381C89">
            <w:pPr>
              <w:widowControl/>
              <w:jc w:val="center"/>
              <w:rPr>
                <w:rFonts w:ascii="Times New Roman" w:hAnsi="Times New Roman"/>
                <w:color w:val="000000"/>
                <w:kern w:val="0"/>
                <w:szCs w:val="21"/>
              </w:rPr>
            </w:pPr>
            <w:r>
              <w:rPr>
                <w:rFonts w:ascii="Times New Roman" w:hAnsi="Times New Roman"/>
                <w:color w:val="000000"/>
                <w:kern w:val="0"/>
                <w:szCs w:val="21"/>
              </w:rPr>
              <w:t>7</w:t>
            </w:r>
          </w:p>
        </w:tc>
        <w:tc>
          <w:tcPr>
            <w:tcW w:w="567" w:type="dxa"/>
            <w:tcBorders>
              <w:top w:val="nil"/>
              <w:left w:val="nil"/>
              <w:bottom w:val="single" w:color="auto" w:sz="4" w:space="0"/>
              <w:right w:val="single" w:color="auto" w:sz="4" w:space="0"/>
            </w:tcBorders>
            <w:noWrap/>
            <w:vAlign w:val="center"/>
          </w:tcPr>
          <w:p w14:paraId="5D85284F">
            <w:pPr>
              <w:widowControl/>
              <w:jc w:val="center"/>
              <w:rPr>
                <w:rFonts w:ascii="Times New Roman" w:hAnsi="Times New Roman"/>
                <w:color w:val="000000"/>
                <w:kern w:val="0"/>
                <w:szCs w:val="21"/>
              </w:rPr>
            </w:pPr>
            <w:r>
              <w:rPr>
                <w:rFonts w:ascii="Times New Roman" w:hAnsi="Times New Roman"/>
                <w:color w:val="000000"/>
                <w:kern w:val="0"/>
                <w:szCs w:val="21"/>
              </w:rPr>
              <w:t>G</w:t>
            </w:r>
          </w:p>
        </w:tc>
        <w:tc>
          <w:tcPr>
            <w:tcW w:w="2127" w:type="dxa"/>
            <w:tcBorders>
              <w:top w:val="nil"/>
              <w:left w:val="nil"/>
              <w:bottom w:val="single" w:color="auto" w:sz="4" w:space="0"/>
              <w:right w:val="single" w:color="auto" w:sz="4" w:space="0"/>
            </w:tcBorders>
            <w:noWrap/>
            <w:vAlign w:val="center"/>
          </w:tcPr>
          <w:p w14:paraId="716E2848">
            <w:pPr>
              <w:widowControl/>
              <w:jc w:val="left"/>
              <w:rPr>
                <w:rFonts w:ascii="宋体" w:hAnsi="宋体" w:cs="宋体"/>
                <w:color w:val="000000"/>
                <w:kern w:val="0"/>
                <w:szCs w:val="21"/>
              </w:rPr>
            </w:pPr>
            <w:r>
              <w:rPr>
                <w:rFonts w:hint="eastAsia" w:ascii="宋体" w:hAnsi="宋体" w:cs="宋体"/>
                <w:color w:val="000000"/>
                <w:kern w:val="0"/>
                <w:szCs w:val="21"/>
              </w:rPr>
              <w:t>交通运输、仓储和邮政业</w:t>
            </w:r>
          </w:p>
        </w:tc>
        <w:tc>
          <w:tcPr>
            <w:tcW w:w="708" w:type="dxa"/>
            <w:tcBorders>
              <w:top w:val="nil"/>
              <w:left w:val="nil"/>
              <w:bottom w:val="single" w:color="auto" w:sz="4" w:space="0"/>
              <w:right w:val="single" w:color="auto" w:sz="4" w:space="0"/>
            </w:tcBorders>
            <w:noWrap/>
            <w:vAlign w:val="center"/>
          </w:tcPr>
          <w:p w14:paraId="6B7E65F2">
            <w:pPr>
              <w:widowControl/>
              <w:jc w:val="center"/>
              <w:rPr>
                <w:rFonts w:ascii="Times New Roman" w:hAnsi="Times New Roman"/>
                <w:color w:val="000000"/>
                <w:kern w:val="0"/>
                <w:szCs w:val="21"/>
              </w:rPr>
            </w:pPr>
            <w:r>
              <w:rPr>
                <w:rFonts w:ascii="Times New Roman" w:hAnsi="Times New Roman"/>
                <w:color w:val="000000"/>
                <w:kern w:val="0"/>
                <w:szCs w:val="21"/>
              </w:rPr>
              <w:t>13</w:t>
            </w:r>
          </w:p>
        </w:tc>
        <w:tc>
          <w:tcPr>
            <w:tcW w:w="696" w:type="dxa"/>
            <w:tcBorders>
              <w:top w:val="nil"/>
              <w:left w:val="nil"/>
              <w:bottom w:val="single" w:color="auto" w:sz="4" w:space="0"/>
              <w:right w:val="single" w:color="auto" w:sz="4" w:space="0"/>
            </w:tcBorders>
            <w:noWrap/>
            <w:vAlign w:val="center"/>
          </w:tcPr>
          <w:p w14:paraId="460644A3">
            <w:pPr>
              <w:widowControl/>
              <w:jc w:val="center"/>
              <w:rPr>
                <w:rFonts w:ascii="Times New Roman" w:hAnsi="Times New Roman"/>
                <w:color w:val="000000"/>
                <w:kern w:val="0"/>
                <w:szCs w:val="21"/>
              </w:rPr>
            </w:pPr>
            <w:r>
              <w:rPr>
                <w:rFonts w:hint="eastAsia" w:ascii="Times New Roman" w:hAnsi="Times New Roman"/>
                <w:color w:val="000000"/>
                <w:kern w:val="0"/>
                <w:szCs w:val="21"/>
              </w:rPr>
              <w:t>60</w:t>
            </w:r>
          </w:p>
        </w:tc>
        <w:tc>
          <w:tcPr>
            <w:tcW w:w="721" w:type="dxa"/>
            <w:tcBorders>
              <w:top w:val="nil"/>
              <w:left w:val="nil"/>
              <w:bottom w:val="single" w:color="auto" w:sz="4" w:space="0"/>
              <w:right w:val="single" w:color="auto" w:sz="4" w:space="0"/>
            </w:tcBorders>
            <w:noWrap/>
            <w:vAlign w:val="center"/>
          </w:tcPr>
          <w:p w14:paraId="3F37D26C">
            <w:pPr>
              <w:widowControl/>
              <w:jc w:val="center"/>
              <w:rPr>
                <w:rFonts w:ascii="Times New Roman" w:hAnsi="Times New Roman"/>
                <w:color w:val="000000"/>
                <w:kern w:val="0"/>
                <w:szCs w:val="21"/>
              </w:rPr>
            </w:pPr>
            <w:r>
              <w:rPr>
                <w:rFonts w:ascii="Times New Roman" w:hAnsi="Times New Roman"/>
                <w:color w:val="000000"/>
                <w:kern w:val="0"/>
                <w:szCs w:val="21"/>
              </w:rPr>
              <w:t>　</w:t>
            </w:r>
          </w:p>
        </w:tc>
        <w:tc>
          <w:tcPr>
            <w:tcW w:w="851" w:type="dxa"/>
            <w:tcBorders>
              <w:top w:val="nil"/>
              <w:left w:val="nil"/>
              <w:bottom w:val="single" w:color="auto" w:sz="4" w:space="0"/>
              <w:right w:val="single" w:color="auto" w:sz="4" w:space="0"/>
            </w:tcBorders>
            <w:noWrap/>
            <w:vAlign w:val="center"/>
          </w:tcPr>
          <w:p w14:paraId="54F6FB1A">
            <w:pPr>
              <w:widowControl/>
              <w:jc w:val="center"/>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　</w:t>
            </w:r>
          </w:p>
        </w:tc>
        <w:tc>
          <w:tcPr>
            <w:tcW w:w="847" w:type="dxa"/>
            <w:tcBorders>
              <w:top w:val="nil"/>
              <w:left w:val="nil"/>
              <w:bottom w:val="single" w:color="auto" w:sz="4" w:space="0"/>
              <w:right w:val="single" w:color="auto" w:sz="4" w:space="0"/>
            </w:tcBorders>
            <w:noWrap/>
            <w:vAlign w:val="center"/>
          </w:tcPr>
          <w:p w14:paraId="30509369">
            <w:pPr>
              <w:widowControl/>
              <w:jc w:val="center"/>
              <w:rPr>
                <w:rFonts w:ascii="Times New Roman" w:hAnsi="Times New Roman"/>
                <w:color w:val="000000"/>
                <w:kern w:val="0"/>
                <w:szCs w:val="21"/>
              </w:rPr>
            </w:pPr>
            <w:r>
              <w:rPr>
                <w:rFonts w:hint="eastAsia" w:ascii="Times New Roman" w:hAnsi="Times New Roman"/>
                <w:color w:val="000000"/>
                <w:kern w:val="0"/>
                <w:szCs w:val="21"/>
              </w:rPr>
              <w:t>0</w:t>
            </w:r>
          </w:p>
        </w:tc>
        <w:tc>
          <w:tcPr>
            <w:tcW w:w="691" w:type="dxa"/>
            <w:tcBorders>
              <w:top w:val="nil"/>
              <w:left w:val="nil"/>
              <w:bottom w:val="single" w:color="auto" w:sz="4" w:space="0"/>
              <w:right w:val="single" w:color="auto" w:sz="4" w:space="0"/>
            </w:tcBorders>
            <w:noWrap/>
            <w:vAlign w:val="center"/>
          </w:tcPr>
          <w:p w14:paraId="0527C074">
            <w:pPr>
              <w:widowControl/>
              <w:jc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8</w:t>
            </w:r>
          </w:p>
        </w:tc>
        <w:tc>
          <w:tcPr>
            <w:tcW w:w="696" w:type="dxa"/>
            <w:tcBorders>
              <w:top w:val="nil"/>
              <w:left w:val="nil"/>
              <w:bottom w:val="single" w:color="auto" w:sz="4" w:space="0"/>
              <w:right w:val="single" w:color="auto" w:sz="4" w:space="0"/>
            </w:tcBorders>
            <w:noWrap/>
            <w:vAlign w:val="center"/>
          </w:tcPr>
          <w:p w14:paraId="35534436">
            <w:pPr>
              <w:widowControl/>
              <w:jc w:val="center"/>
              <w:rPr>
                <w:rFonts w:ascii="Times New Roman" w:hAnsi="Times New Roman"/>
                <w:color w:val="000000"/>
                <w:kern w:val="0"/>
                <w:szCs w:val="21"/>
              </w:rPr>
            </w:pPr>
            <w:r>
              <w:rPr>
                <w:rFonts w:hint="eastAsia" w:ascii="Times New Roman" w:hAnsi="Times New Roman"/>
                <w:color w:val="000000"/>
                <w:kern w:val="0"/>
                <w:szCs w:val="21"/>
              </w:rPr>
              <w:t>70</w:t>
            </w:r>
          </w:p>
        </w:tc>
      </w:tr>
      <w:tr w14:paraId="52394621">
        <w:tblPrEx>
          <w:tblCellMar>
            <w:top w:w="0" w:type="dxa"/>
            <w:left w:w="108" w:type="dxa"/>
            <w:bottom w:w="0" w:type="dxa"/>
            <w:right w:w="108" w:type="dxa"/>
          </w:tblCellMar>
        </w:tblPrEx>
        <w:trPr>
          <w:trHeight w:val="315" w:hRule="atLeast"/>
        </w:trPr>
        <w:tc>
          <w:tcPr>
            <w:tcW w:w="567" w:type="dxa"/>
            <w:tcBorders>
              <w:top w:val="nil"/>
              <w:left w:val="single" w:color="auto" w:sz="4" w:space="0"/>
              <w:bottom w:val="single" w:color="auto" w:sz="4" w:space="0"/>
              <w:right w:val="single" w:color="auto" w:sz="4" w:space="0"/>
            </w:tcBorders>
            <w:noWrap/>
            <w:vAlign w:val="center"/>
          </w:tcPr>
          <w:p w14:paraId="39D7F23A">
            <w:pPr>
              <w:widowControl/>
              <w:jc w:val="center"/>
              <w:rPr>
                <w:rFonts w:ascii="Times New Roman" w:hAnsi="Times New Roman"/>
                <w:color w:val="000000"/>
                <w:kern w:val="0"/>
                <w:szCs w:val="21"/>
              </w:rPr>
            </w:pPr>
            <w:r>
              <w:rPr>
                <w:rFonts w:ascii="Times New Roman" w:hAnsi="Times New Roman"/>
                <w:color w:val="000000"/>
                <w:kern w:val="0"/>
                <w:szCs w:val="21"/>
              </w:rPr>
              <w:t>8</w:t>
            </w:r>
          </w:p>
        </w:tc>
        <w:tc>
          <w:tcPr>
            <w:tcW w:w="567" w:type="dxa"/>
            <w:tcBorders>
              <w:top w:val="nil"/>
              <w:left w:val="nil"/>
              <w:bottom w:val="single" w:color="auto" w:sz="4" w:space="0"/>
              <w:right w:val="single" w:color="auto" w:sz="4" w:space="0"/>
            </w:tcBorders>
            <w:noWrap/>
            <w:vAlign w:val="center"/>
          </w:tcPr>
          <w:p w14:paraId="4567DE78">
            <w:pPr>
              <w:widowControl/>
              <w:jc w:val="center"/>
              <w:rPr>
                <w:rFonts w:ascii="Times New Roman" w:hAnsi="Times New Roman"/>
                <w:color w:val="000000"/>
                <w:kern w:val="0"/>
                <w:szCs w:val="21"/>
              </w:rPr>
            </w:pPr>
            <w:r>
              <w:rPr>
                <w:rFonts w:ascii="Times New Roman" w:hAnsi="Times New Roman"/>
                <w:color w:val="000000"/>
                <w:kern w:val="0"/>
                <w:szCs w:val="21"/>
              </w:rPr>
              <w:t>H</w:t>
            </w:r>
          </w:p>
        </w:tc>
        <w:tc>
          <w:tcPr>
            <w:tcW w:w="2127" w:type="dxa"/>
            <w:tcBorders>
              <w:top w:val="nil"/>
              <w:left w:val="nil"/>
              <w:bottom w:val="single" w:color="auto" w:sz="4" w:space="0"/>
              <w:right w:val="single" w:color="auto" w:sz="4" w:space="0"/>
            </w:tcBorders>
            <w:noWrap/>
            <w:vAlign w:val="center"/>
          </w:tcPr>
          <w:p w14:paraId="41F93CB3">
            <w:pPr>
              <w:widowControl/>
              <w:jc w:val="left"/>
              <w:rPr>
                <w:rFonts w:ascii="宋体" w:hAnsi="宋体" w:cs="宋体"/>
                <w:color w:val="000000"/>
                <w:kern w:val="0"/>
                <w:szCs w:val="21"/>
              </w:rPr>
            </w:pPr>
            <w:r>
              <w:rPr>
                <w:rFonts w:hint="eastAsia" w:ascii="宋体" w:hAnsi="宋体" w:cs="宋体"/>
                <w:color w:val="000000"/>
                <w:kern w:val="0"/>
                <w:szCs w:val="21"/>
              </w:rPr>
              <w:t>住宿和餐饮业</w:t>
            </w:r>
          </w:p>
        </w:tc>
        <w:tc>
          <w:tcPr>
            <w:tcW w:w="708" w:type="dxa"/>
            <w:tcBorders>
              <w:top w:val="nil"/>
              <w:left w:val="nil"/>
              <w:bottom w:val="single" w:color="auto" w:sz="4" w:space="0"/>
              <w:right w:val="single" w:color="auto" w:sz="4" w:space="0"/>
            </w:tcBorders>
            <w:noWrap/>
            <w:vAlign w:val="center"/>
          </w:tcPr>
          <w:p w14:paraId="21919FA2">
            <w:pPr>
              <w:widowControl/>
              <w:jc w:val="center"/>
              <w:rPr>
                <w:rFonts w:ascii="Times New Roman" w:hAnsi="Times New Roman"/>
                <w:color w:val="000000"/>
                <w:kern w:val="0"/>
                <w:szCs w:val="21"/>
              </w:rPr>
            </w:pPr>
            <w:r>
              <w:rPr>
                <w:rFonts w:hint="eastAsia" w:ascii="Times New Roman" w:hAnsi="Times New Roman"/>
                <w:color w:val="000000"/>
                <w:kern w:val="0"/>
                <w:szCs w:val="21"/>
              </w:rPr>
              <w:t>7</w:t>
            </w:r>
          </w:p>
        </w:tc>
        <w:tc>
          <w:tcPr>
            <w:tcW w:w="696" w:type="dxa"/>
            <w:tcBorders>
              <w:top w:val="nil"/>
              <w:left w:val="nil"/>
              <w:bottom w:val="single" w:color="auto" w:sz="4" w:space="0"/>
              <w:right w:val="single" w:color="auto" w:sz="4" w:space="0"/>
            </w:tcBorders>
            <w:noWrap/>
            <w:vAlign w:val="center"/>
          </w:tcPr>
          <w:p w14:paraId="2A26B4E5">
            <w:pPr>
              <w:widowControl/>
              <w:jc w:val="center"/>
              <w:rPr>
                <w:rFonts w:ascii="Times New Roman" w:hAnsi="Times New Roman"/>
                <w:color w:val="000000"/>
                <w:kern w:val="0"/>
                <w:szCs w:val="21"/>
              </w:rPr>
            </w:pPr>
            <w:r>
              <w:rPr>
                <w:rFonts w:hint="eastAsia" w:ascii="Times New Roman" w:hAnsi="Times New Roman"/>
                <w:color w:val="000000"/>
                <w:kern w:val="0"/>
                <w:szCs w:val="21"/>
              </w:rPr>
              <w:t>14</w:t>
            </w:r>
          </w:p>
        </w:tc>
        <w:tc>
          <w:tcPr>
            <w:tcW w:w="721" w:type="dxa"/>
            <w:tcBorders>
              <w:top w:val="nil"/>
              <w:left w:val="nil"/>
              <w:bottom w:val="single" w:color="auto" w:sz="4" w:space="0"/>
              <w:right w:val="single" w:color="auto" w:sz="4" w:space="0"/>
            </w:tcBorders>
            <w:noWrap/>
            <w:vAlign w:val="center"/>
          </w:tcPr>
          <w:p w14:paraId="0DBD2B70">
            <w:pPr>
              <w:widowControl/>
              <w:jc w:val="center"/>
              <w:rPr>
                <w:rFonts w:ascii="Times New Roman" w:hAnsi="Times New Roman"/>
                <w:color w:val="000000"/>
                <w:kern w:val="0"/>
                <w:szCs w:val="21"/>
              </w:rPr>
            </w:pPr>
            <w:r>
              <w:rPr>
                <w:rFonts w:ascii="Times New Roman" w:hAnsi="Times New Roman"/>
                <w:color w:val="000000"/>
                <w:kern w:val="0"/>
                <w:szCs w:val="21"/>
              </w:rPr>
              <w:t>　</w:t>
            </w:r>
          </w:p>
        </w:tc>
        <w:tc>
          <w:tcPr>
            <w:tcW w:w="851" w:type="dxa"/>
            <w:tcBorders>
              <w:top w:val="nil"/>
              <w:left w:val="nil"/>
              <w:bottom w:val="single" w:color="auto" w:sz="4" w:space="0"/>
              <w:right w:val="single" w:color="auto" w:sz="4" w:space="0"/>
            </w:tcBorders>
            <w:noWrap/>
            <w:vAlign w:val="center"/>
          </w:tcPr>
          <w:p w14:paraId="4D478C1F">
            <w:pPr>
              <w:widowControl/>
              <w:jc w:val="center"/>
              <w:rPr>
                <w:rFonts w:ascii="Times New Roman" w:hAnsi="Times New Roman"/>
                <w:color w:val="000000"/>
                <w:kern w:val="0"/>
                <w:szCs w:val="21"/>
              </w:rPr>
            </w:pPr>
            <w:r>
              <w:rPr>
                <w:rFonts w:hint="eastAsia" w:ascii="Times New Roman" w:hAnsi="Times New Roman"/>
                <w:color w:val="000000"/>
                <w:kern w:val="0"/>
                <w:szCs w:val="21"/>
              </w:rPr>
              <w:t>2</w:t>
            </w:r>
            <w:r>
              <w:rPr>
                <w:rFonts w:ascii="Times New Roman" w:hAnsi="Times New Roman"/>
                <w:color w:val="000000"/>
                <w:kern w:val="0"/>
                <w:szCs w:val="21"/>
              </w:rPr>
              <w:t>　</w:t>
            </w:r>
          </w:p>
        </w:tc>
        <w:tc>
          <w:tcPr>
            <w:tcW w:w="847" w:type="dxa"/>
            <w:tcBorders>
              <w:top w:val="nil"/>
              <w:left w:val="nil"/>
              <w:bottom w:val="single" w:color="auto" w:sz="4" w:space="0"/>
              <w:right w:val="single" w:color="auto" w:sz="4" w:space="0"/>
            </w:tcBorders>
            <w:noWrap/>
            <w:vAlign w:val="center"/>
          </w:tcPr>
          <w:p w14:paraId="316CADEA">
            <w:pPr>
              <w:widowControl/>
              <w:jc w:val="center"/>
              <w:rPr>
                <w:rFonts w:ascii="Times New Roman" w:hAnsi="Times New Roman"/>
                <w:color w:val="000000"/>
                <w:kern w:val="0"/>
                <w:szCs w:val="21"/>
              </w:rPr>
            </w:pPr>
            <w:r>
              <w:rPr>
                <w:rFonts w:hint="eastAsia" w:ascii="Times New Roman" w:hAnsi="Times New Roman"/>
                <w:color w:val="000000"/>
                <w:kern w:val="0"/>
                <w:szCs w:val="21"/>
              </w:rPr>
              <w:t>7</w:t>
            </w:r>
          </w:p>
        </w:tc>
        <w:tc>
          <w:tcPr>
            <w:tcW w:w="691" w:type="dxa"/>
            <w:tcBorders>
              <w:top w:val="nil"/>
              <w:left w:val="nil"/>
              <w:bottom w:val="single" w:color="auto" w:sz="4" w:space="0"/>
              <w:right w:val="single" w:color="auto" w:sz="4" w:space="0"/>
            </w:tcBorders>
            <w:noWrap/>
            <w:vAlign w:val="center"/>
          </w:tcPr>
          <w:p w14:paraId="040DAC07">
            <w:pPr>
              <w:widowControl/>
              <w:jc w:val="center"/>
              <w:rPr>
                <w:rFonts w:ascii="Times New Roman" w:hAnsi="Times New Roman"/>
                <w:color w:val="000000"/>
                <w:kern w:val="0"/>
                <w:szCs w:val="21"/>
              </w:rPr>
            </w:pPr>
            <w:r>
              <w:rPr>
                <w:rFonts w:hint="eastAsia" w:ascii="Times New Roman" w:hAnsi="Times New Roman"/>
                <w:color w:val="000000"/>
                <w:kern w:val="0"/>
                <w:szCs w:val="21"/>
              </w:rPr>
              <w:t>9</w:t>
            </w:r>
          </w:p>
        </w:tc>
        <w:tc>
          <w:tcPr>
            <w:tcW w:w="696" w:type="dxa"/>
            <w:tcBorders>
              <w:top w:val="nil"/>
              <w:left w:val="nil"/>
              <w:bottom w:val="single" w:color="auto" w:sz="4" w:space="0"/>
              <w:right w:val="single" w:color="auto" w:sz="4" w:space="0"/>
            </w:tcBorders>
            <w:noWrap/>
            <w:vAlign w:val="center"/>
          </w:tcPr>
          <w:p w14:paraId="41501459">
            <w:pPr>
              <w:widowControl/>
              <w:jc w:val="center"/>
              <w:rPr>
                <w:rFonts w:ascii="Times New Roman" w:hAnsi="Times New Roman"/>
                <w:color w:val="000000"/>
                <w:kern w:val="0"/>
                <w:szCs w:val="21"/>
              </w:rPr>
            </w:pPr>
            <w:r>
              <w:rPr>
                <w:rFonts w:hint="eastAsia" w:ascii="Times New Roman" w:hAnsi="Times New Roman"/>
                <w:color w:val="000000"/>
                <w:kern w:val="0"/>
                <w:szCs w:val="21"/>
              </w:rPr>
              <w:t>18</w:t>
            </w:r>
          </w:p>
        </w:tc>
      </w:tr>
      <w:tr w14:paraId="73F1E631">
        <w:tblPrEx>
          <w:tblCellMar>
            <w:top w:w="0" w:type="dxa"/>
            <w:left w:w="108" w:type="dxa"/>
            <w:bottom w:w="0" w:type="dxa"/>
            <w:right w:w="108" w:type="dxa"/>
          </w:tblCellMar>
        </w:tblPrEx>
        <w:trPr>
          <w:trHeight w:val="315" w:hRule="atLeast"/>
        </w:trPr>
        <w:tc>
          <w:tcPr>
            <w:tcW w:w="567" w:type="dxa"/>
            <w:tcBorders>
              <w:top w:val="nil"/>
              <w:left w:val="single" w:color="auto" w:sz="4" w:space="0"/>
              <w:bottom w:val="single" w:color="auto" w:sz="4" w:space="0"/>
              <w:right w:val="single" w:color="auto" w:sz="4" w:space="0"/>
            </w:tcBorders>
            <w:noWrap/>
            <w:vAlign w:val="center"/>
          </w:tcPr>
          <w:p w14:paraId="05FA22EC">
            <w:pPr>
              <w:widowControl/>
              <w:jc w:val="center"/>
              <w:rPr>
                <w:rFonts w:ascii="Times New Roman" w:hAnsi="Times New Roman"/>
                <w:color w:val="000000"/>
                <w:kern w:val="0"/>
                <w:szCs w:val="21"/>
              </w:rPr>
            </w:pPr>
            <w:r>
              <w:rPr>
                <w:rFonts w:ascii="Times New Roman" w:hAnsi="Times New Roman"/>
                <w:color w:val="000000"/>
                <w:kern w:val="0"/>
                <w:szCs w:val="21"/>
              </w:rPr>
              <w:t>9</w:t>
            </w:r>
          </w:p>
        </w:tc>
        <w:tc>
          <w:tcPr>
            <w:tcW w:w="567" w:type="dxa"/>
            <w:tcBorders>
              <w:top w:val="nil"/>
              <w:left w:val="nil"/>
              <w:bottom w:val="single" w:color="auto" w:sz="4" w:space="0"/>
              <w:right w:val="single" w:color="auto" w:sz="4" w:space="0"/>
            </w:tcBorders>
            <w:noWrap/>
            <w:vAlign w:val="center"/>
          </w:tcPr>
          <w:p w14:paraId="361CF294">
            <w:pPr>
              <w:widowControl/>
              <w:jc w:val="center"/>
              <w:rPr>
                <w:rFonts w:ascii="Times New Roman" w:hAnsi="Times New Roman"/>
                <w:color w:val="000000"/>
                <w:kern w:val="0"/>
                <w:szCs w:val="21"/>
              </w:rPr>
            </w:pPr>
            <w:r>
              <w:rPr>
                <w:rFonts w:ascii="Times New Roman" w:hAnsi="Times New Roman"/>
                <w:color w:val="000000"/>
                <w:kern w:val="0"/>
                <w:szCs w:val="21"/>
              </w:rPr>
              <w:t>N</w:t>
            </w:r>
          </w:p>
        </w:tc>
        <w:tc>
          <w:tcPr>
            <w:tcW w:w="2127" w:type="dxa"/>
            <w:tcBorders>
              <w:top w:val="nil"/>
              <w:left w:val="nil"/>
              <w:bottom w:val="single" w:color="auto" w:sz="4" w:space="0"/>
              <w:right w:val="single" w:color="auto" w:sz="4" w:space="0"/>
            </w:tcBorders>
            <w:noWrap/>
            <w:vAlign w:val="center"/>
          </w:tcPr>
          <w:p w14:paraId="23ECD78F">
            <w:pPr>
              <w:widowControl/>
              <w:jc w:val="left"/>
              <w:rPr>
                <w:rFonts w:ascii="宋体" w:hAnsi="宋体" w:cs="宋体"/>
                <w:color w:val="000000"/>
                <w:kern w:val="0"/>
                <w:szCs w:val="21"/>
              </w:rPr>
            </w:pPr>
            <w:r>
              <w:rPr>
                <w:rFonts w:hint="eastAsia" w:ascii="宋体" w:hAnsi="宋体" w:cs="宋体"/>
                <w:color w:val="000000"/>
                <w:kern w:val="0"/>
                <w:szCs w:val="21"/>
              </w:rPr>
              <w:t>N水利、环境和公共设施管理业</w:t>
            </w:r>
          </w:p>
        </w:tc>
        <w:tc>
          <w:tcPr>
            <w:tcW w:w="708" w:type="dxa"/>
            <w:tcBorders>
              <w:top w:val="nil"/>
              <w:left w:val="nil"/>
              <w:bottom w:val="single" w:color="auto" w:sz="4" w:space="0"/>
              <w:right w:val="single" w:color="auto" w:sz="4" w:space="0"/>
            </w:tcBorders>
            <w:noWrap/>
            <w:vAlign w:val="center"/>
          </w:tcPr>
          <w:p w14:paraId="2F5DD38D">
            <w:pPr>
              <w:widowControl/>
              <w:jc w:val="center"/>
              <w:rPr>
                <w:rFonts w:ascii="Times New Roman" w:hAnsi="Times New Roman"/>
                <w:color w:val="000000"/>
                <w:kern w:val="0"/>
                <w:szCs w:val="21"/>
              </w:rPr>
            </w:pPr>
            <w:r>
              <w:rPr>
                <w:rFonts w:hint="eastAsia" w:ascii="Times New Roman" w:hAnsi="Times New Roman"/>
                <w:color w:val="000000"/>
                <w:kern w:val="0"/>
                <w:szCs w:val="21"/>
              </w:rPr>
              <w:t>2</w:t>
            </w:r>
            <w:r>
              <w:rPr>
                <w:rFonts w:ascii="Times New Roman" w:hAnsi="Times New Roman"/>
                <w:color w:val="000000"/>
                <w:kern w:val="0"/>
                <w:szCs w:val="21"/>
              </w:rPr>
              <w:t>　</w:t>
            </w:r>
          </w:p>
        </w:tc>
        <w:tc>
          <w:tcPr>
            <w:tcW w:w="696" w:type="dxa"/>
            <w:tcBorders>
              <w:top w:val="nil"/>
              <w:left w:val="nil"/>
              <w:bottom w:val="single" w:color="auto" w:sz="4" w:space="0"/>
              <w:right w:val="single" w:color="auto" w:sz="4" w:space="0"/>
            </w:tcBorders>
            <w:noWrap/>
            <w:vAlign w:val="center"/>
          </w:tcPr>
          <w:p w14:paraId="6AC02932">
            <w:pPr>
              <w:widowControl/>
              <w:jc w:val="center"/>
              <w:rPr>
                <w:rFonts w:ascii="Times New Roman" w:hAnsi="Times New Roman"/>
                <w:color w:val="000000"/>
                <w:kern w:val="0"/>
                <w:szCs w:val="21"/>
              </w:rPr>
            </w:pPr>
            <w:r>
              <w:rPr>
                <w:rFonts w:hint="eastAsia" w:ascii="Times New Roman" w:hAnsi="Times New Roman"/>
                <w:color w:val="000000"/>
                <w:kern w:val="0"/>
                <w:szCs w:val="21"/>
              </w:rPr>
              <w:t>4</w:t>
            </w:r>
            <w:r>
              <w:rPr>
                <w:rFonts w:ascii="Times New Roman" w:hAnsi="Times New Roman"/>
                <w:color w:val="000000"/>
                <w:kern w:val="0"/>
                <w:szCs w:val="21"/>
              </w:rPr>
              <w:t>　</w:t>
            </w:r>
          </w:p>
        </w:tc>
        <w:tc>
          <w:tcPr>
            <w:tcW w:w="721" w:type="dxa"/>
            <w:tcBorders>
              <w:top w:val="nil"/>
              <w:left w:val="nil"/>
              <w:bottom w:val="single" w:color="auto" w:sz="4" w:space="0"/>
              <w:right w:val="single" w:color="auto" w:sz="4" w:space="0"/>
            </w:tcBorders>
            <w:noWrap/>
            <w:vAlign w:val="center"/>
          </w:tcPr>
          <w:p w14:paraId="16AB5D23">
            <w:pPr>
              <w:widowControl/>
              <w:jc w:val="center"/>
              <w:rPr>
                <w:rFonts w:ascii="Times New Roman" w:hAnsi="Times New Roman"/>
                <w:color w:val="000000"/>
                <w:kern w:val="0"/>
                <w:szCs w:val="21"/>
              </w:rPr>
            </w:pPr>
            <w:r>
              <w:rPr>
                <w:rFonts w:ascii="Times New Roman" w:hAnsi="Times New Roman"/>
                <w:color w:val="000000"/>
                <w:kern w:val="0"/>
                <w:szCs w:val="21"/>
              </w:rPr>
              <w:t>　</w:t>
            </w:r>
          </w:p>
        </w:tc>
        <w:tc>
          <w:tcPr>
            <w:tcW w:w="851" w:type="dxa"/>
            <w:tcBorders>
              <w:top w:val="nil"/>
              <w:left w:val="nil"/>
              <w:bottom w:val="single" w:color="auto" w:sz="4" w:space="0"/>
              <w:right w:val="single" w:color="auto" w:sz="4" w:space="0"/>
            </w:tcBorders>
            <w:noWrap/>
            <w:vAlign w:val="center"/>
          </w:tcPr>
          <w:p w14:paraId="7E8E7DA4">
            <w:pPr>
              <w:widowControl/>
              <w:jc w:val="center"/>
              <w:rPr>
                <w:rFonts w:ascii="Times New Roman" w:hAnsi="Times New Roman"/>
                <w:color w:val="000000"/>
                <w:kern w:val="0"/>
                <w:szCs w:val="21"/>
              </w:rPr>
            </w:pPr>
            <w:r>
              <w:rPr>
                <w:rFonts w:ascii="Times New Roman" w:hAnsi="Times New Roman"/>
                <w:color w:val="000000"/>
                <w:kern w:val="0"/>
                <w:szCs w:val="21"/>
              </w:rPr>
              <w:t>　</w:t>
            </w:r>
          </w:p>
        </w:tc>
        <w:tc>
          <w:tcPr>
            <w:tcW w:w="847" w:type="dxa"/>
            <w:tcBorders>
              <w:top w:val="nil"/>
              <w:left w:val="nil"/>
              <w:bottom w:val="single" w:color="auto" w:sz="4" w:space="0"/>
              <w:right w:val="single" w:color="auto" w:sz="4" w:space="0"/>
            </w:tcBorders>
            <w:noWrap/>
            <w:vAlign w:val="center"/>
          </w:tcPr>
          <w:p w14:paraId="7D9D54D8">
            <w:pPr>
              <w:widowControl/>
              <w:jc w:val="center"/>
              <w:rPr>
                <w:rFonts w:ascii="Times New Roman" w:hAnsi="Times New Roman"/>
                <w:color w:val="000000"/>
                <w:kern w:val="0"/>
                <w:szCs w:val="21"/>
              </w:rPr>
            </w:pPr>
            <w:r>
              <w:rPr>
                <w:rFonts w:hint="eastAsia" w:ascii="Times New Roman" w:hAnsi="Times New Roman"/>
                <w:color w:val="000000"/>
                <w:kern w:val="0"/>
                <w:szCs w:val="21"/>
              </w:rPr>
              <w:t>2</w:t>
            </w:r>
          </w:p>
        </w:tc>
        <w:tc>
          <w:tcPr>
            <w:tcW w:w="691" w:type="dxa"/>
            <w:tcBorders>
              <w:top w:val="nil"/>
              <w:left w:val="nil"/>
              <w:bottom w:val="single" w:color="auto" w:sz="4" w:space="0"/>
              <w:right w:val="single" w:color="auto" w:sz="4" w:space="0"/>
            </w:tcBorders>
            <w:noWrap/>
            <w:vAlign w:val="center"/>
          </w:tcPr>
          <w:p w14:paraId="3688ED89">
            <w:pPr>
              <w:widowControl/>
              <w:jc w:val="center"/>
              <w:rPr>
                <w:rFonts w:ascii="Times New Roman" w:hAnsi="Times New Roman"/>
                <w:color w:val="000000"/>
                <w:kern w:val="0"/>
                <w:szCs w:val="21"/>
              </w:rPr>
            </w:pPr>
            <w:r>
              <w:rPr>
                <w:rFonts w:hint="eastAsia" w:ascii="Times New Roman" w:hAnsi="Times New Roman"/>
                <w:color w:val="000000"/>
                <w:kern w:val="0"/>
                <w:szCs w:val="21"/>
              </w:rPr>
              <w:t>2</w:t>
            </w:r>
          </w:p>
        </w:tc>
        <w:tc>
          <w:tcPr>
            <w:tcW w:w="696" w:type="dxa"/>
            <w:tcBorders>
              <w:top w:val="nil"/>
              <w:left w:val="nil"/>
              <w:bottom w:val="single" w:color="auto" w:sz="4" w:space="0"/>
              <w:right w:val="single" w:color="auto" w:sz="4" w:space="0"/>
            </w:tcBorders>
            <w:noWrap/>
            <w:vAlign w:val="center"/>
          </w:tcPr>
          <w:p w14:paraId="4474EC52">
            <w:pPr>
              <w:widowControl/>
              <w:jc w:val="center"/>
              <w:rPr>
                <w:rFonts w:ascii="Times New Roman" w:hAnsi="Times New Roman"/>
                <w:color w:val="000000"/>
                <w:kern w:val="0"/>
                <w:szCs w:val="21"/>
              </w:rPr>
            </w:pPr>
            <w:r>
              <w:rPr>
                <w:rFonts w:ascii="Times New Roman" w:hAnsi="Times New Roman"/>
                <w:color w:val="000000"/>
                <w:kern w:val="0"/>
                <w:szCs w:val="21"/>
              </w:rPr>
              <w:t>4</w:t>
            </w:r>
          </w:p>
        </w:tc>
      </w:tr>
      <w:tr w14:paraId="6F8C4004">
        <w:tblPrEx>
          <w:tblCellMar>
            <w:top w:w="0" w:type="dxa"/>
            <w:left w:w="108" w:type="dxa"/>
            <w:bottom w:w="0" w:type="dxa"/>
            <w:right w:w="108" w:type="dxa"/>
          </w:tblCellMar>
        </w:tblPrEx>
        <w:trPr>
          <w:trHeight w:val="315" w:hRule="atLeast"/>
        </w:trPr>
        <w:tc>
          <w:tcPr>
            <w:tcW w:w="567" w:type="dxa"/>
            <w:tcBorders>
              <w:top w:val="nil"/>
              <w:left w:val="single" w:color="auto" w:sz="4" w:space="0"/>
              <w:bottom w:val="single" w:color="auto" w:sz="4" w:space="0"/>
              <w:right w:val="single" w:color="auto" w:sz="4" w:space="0"/>
            </w:tcBorders>
            <w:noWrap/>
            <w:vAlign w:val="center"/>
          </w:tcPr>
          <w:p w14:paraId="4F003923">
            <w:pPr>
              <w:widowControl/>
              <w:jc w:val="center"/>
              <w:rPr>
                <w:rFonts w:ascii="Times New Roman" w:hAnsi="Times New Roman"/>
                <w:color w:val="000000"/>
                <w:kern w:val="0"/>
                <w:szCs w:val="21"/>
              </w:rPr>
            </w:pPr>
            <w:r>
              <w:rPr>
                <w:rFonts w:ascii="Times New Roman" w:hAnsi="Times New Roman"/>
                <w:color w:val="000000"/>
                <w:kern w:val="0"/>
                <w:szCs w:val="21"/>
              </w:rPr>
              <w:t>10</w:t>
            </w:r>
          </w:p>
        </w:tc>
        <w:tc>
          <w:tcPr>
            <w:tcW w:w="567" w:type="dxa"/>
            <w:tcBorders>
              <w:top w:val="nil"/>
              <w:left w:val="nil"/>
              <w:bottom w:val="single" w:color="auto" w:sz="4" w:space="0"/>
              <w:right w:val="single" w:color="auto" w:sz="4" w:space="0"/>
            </w:tcBorders>
            <w:noWrap/>
            <w:vAlign w:val="center"/>
          </w:tcPr>
          <w:p w14:paraId="6CEFF596">
            <w:pPr>
              <w:widowControl/>
              <w:jc w:val="center"/>
              <w:rPr>
                <w:rFonts w:ascii="Times New Roman" w:hAnsi="Times New Roman"/>
                <w:color w:val="000000"/>
                <w:kern w:val="0"/>
                <w:szCs w:val="21"/>
              </w:rPr>
            </w:pPr>
            <w:r>
              <w:rPr>
                <w:rFonts w:ascii="Times New Roman" w:hAnsi="Times New Roman"/>
                <w:color w:val="000000"/>
                <w:kern w:val="0"/>
                <w:szCs w:val="21"/>
              </w:rPr>
              <w:t>O</w:t>
            </w:r>
          </w:p>
        </w:tc>
        <w:tc>
          <w:tcPr>
            <w:tcW w:w="2127" w:type="dxa"/>
            <w:tcBorders>
              <w:top w:val="nil"/>
              <w:left w:val="nil"/>
              <w:bottom w:val="single" w:color="auto" w:sz="4" w:space="0"/>
              <w:right w:val="single" w:color="auto" w:sz="4" w:space="0"/>
            </w:tcBorders>
            <w:noWrap/>
            <w:vAlign w:val="center"/>
          </w:tcPr>
          <w:p w14:paraId="29CD1753">
            <w:pPr>
              <w:widowControl/>
              <w:jc w:val="left"/>
              <w:rPr>
                <w:rFonts w:ascii="宋体" w:hAnsi="宋体" w:cs="宋体"/>
                <w:color w:val="000000"/>
                <w:kern w:val="0"/>
                <w:szCs w:val="21"/>
              </w:rPr>
            </w:pPr>
            <w:r>
              <w:rPr>
                <w:rFonts w:hint="eastAsia" w:ascii="宋体" w:hAnsi="宋体" w:cs="宋体"/>
                <w:color w:val="000000"/>
                <w:kern w:val="0"/>
                <w:szCs w:val="21"/>
              </w:rPr>
              <w:t>居民服务、修理和其他服务业</w:t>
            </w:r>
          </w:p>
        </w:tc>
        <w:tc>
          <w:tcPr>
            <w:tcW w:w="708" w:type="dxa"/>
            <w:tcBorders>
              <w:top w:val="nil"/>
              <w:left w:val="nil"/>
              <w:bottom w:val="single" w:color="auto" w:sz="4" w:space="0"/>
              <w:right w:val="single" w:color="auto" w:sz="4" w:space="0"/>
            </w:tcBorders>
            <w:noWrap/>
            <w:vAlign w:val="center"/>
          </w:tcPr>
          <w:p w14:paraId="49F10B9B">
            <w:pPr>
              <w:widowControl/>
              <w:jc w:val="center"/>
              <w:rPr>
                <w:rFonts w:ascii="Times New Roman" w:hAnsi="Times New Roman"/>
                <w:color w:val="000000"/>
                <w:kern w:val="0"/>
                <w:szCs w:val="21"/>
              </w:rPr>
            </w:pPr>
            <w:r>
              <w:rPr>
                <w:rFonts w:hint="eastAsia" w:ascii="Times New Roman" w:hAnsi="Times New Roman"/>
                <w:color w:val="000000"/>
                <w:kern w:val="0"/>
                <w:szCs w:val="21"/>
              </w:rPr>
              <w:t>8</w:t>
            </w:r>
          </w:p>
        </w:tc>
        <w:tc>
          <w:tcPr>
            <w:tcW w:w="696" w:type="dxa"/>
            <w:tcBorders>
              <w:top w:val="nil"/>
              <w:left w:val="nil"/>
              <w:bottom w:val="single" w:color="auto" w:sz="4" w:space="0"/>
              <w:right w:val="single" w:color="auto" w:sz="4" w:space="0"/>
            </w:tcBorders>
            <w:noWrap/>
            <w:vAlign w:val="center"/>
          </w:tcPr>
          <w:p w14:paraId="668E4BEF">
            <w:pPr>
              <w:widowControl/>
              <w:jc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6</w:t>
            </w:r>
          </w:p>
        </w:tc>
        <w:tc>
          <w:tcPr>
            <w:tcW w:w="721" w:type="dxa"/>
            <w:tcBorders>
              <w:top w:val="nil"/>
              <w:left w:val="nil"/>
              <w:bottom w:val="single" w:color="auto" w:sz="4" w:space="0"/>
              <w:right w:val="single" w:color="auto" w:sz="4" w:space="0"/>
            </w:tcBorders>
            <w:noWrap/>
            <w:vAlign w:val="center"/>
          </w:tcPr>
          <w:p w14:paraId="3BACE74E">
            <w:pPr>
              <w:widowControl/>
              <w:jc w:val="center"/>
              <w:rPr>
                <w:rFonts w:ascii="Times New Roman" w:hAnsi="Times New Roman"/>
                <w:color w:val="000000"/>
                <w:kern w:val="0"/>
                <w:szCs w:val="21"/>
              </w:rPr>
            </w:pPr>
            <w:r>
              <w:rPr>
                <w:rFonts w:hint="eastAsia" w:ascii="Times New Roman" w:hAnsi="Times New Roman"/>
                <w:color w:val="000000"/>
                <w:kern w:val="0"/>
                <w:szCs w:val="21"/>
              </w:rPr>
              <w:t>2</w:t>
            </w:r>
          </w:p>
        </w:tc>
        <w:tc>
          <w:tcPr>
            <w:tcW w:w="851" w:type="dxa"/>
            <w:tcBorders>
              <w:top w:val="nil"/>
              <w:left w:val="nil"/>
              <w:bottom w:val="single" w:color="auto" w:sz="4" w:space="0"/>
              <w:right w:val="single" w:color="auto" w:sz="4" w:space="0"/>
            </w:tcBorders>
            <w:noWrap/>
            <w:vAlign w:val="center"/>
          </w:tcPr>
          <w:p w14:paraId="04F94CFD">
            <w:pPr>
              <w:widowControl/>
              <w:jc w:val="center"/>
              <w:rPr>
                <w:rFonts w:ascii="Times New Roman" w:hAnsi="Times New Roman"/>
                <w:color w:val="000000"/>
                <w:kern w:val="0"/>
                <w:szCs w:val="21"/>
              </w:rPr>
            </w:pPr>
            <w:r>
              <w:rPr>
                <w:rFonts w:hint="eastAsia" w:ascii="Times New Roman" w:hAnsi="Times New Roman"/>
                <w:color w:val="000000"/>
                <w:kern w:val="0"/>
                <w:szCs w:val="21"/>
              </w:rPr>
              <w:t>5</w:t>
            </w:r>
            <w:r>
              <w:rPr>
                <w:rFonts w:ascii="Times New Roman" w:hAnsi="Times New Roman"/>
                <w:color w:val="000000"/>
                <w:kern w:val="0"/>
                <w:szCs w:val="21"/>
              </w:rPr>
              <w:t>　</w:t>
            </w:r>
          </w:p>
        </w:tc>
        <w:tc>
          <w:tcPr>
            <w:tcW w:w="847" w:type="dxa"/>
            <w:tcBorders>
              <w:top w:val="nil"/>
              <w:left w:val="nil"/>
              <w:bottom w:val="single" w:color="auto" w:sz="4" w:space="0"/>
              <w:right w:val="single" w:color="auto" w:sz="4" w:space="0"/>
            </w:tcBorders>
            <w:noWrap/>
            <w:vAlign w:val="center"/>
          </w:tcPr>
          <w:p w14:paraId="11B82BD2">
            <w:pPr>
              <w:widowControl/>
              <w:jc w:val="center"/>
              <w:rPr>
                <w:rFonts w:ascii="Times New Roman" w:hAnsi="Times New Roman"/>
                <w:color w:val="000000"/>
                <w:kern w:val="0"/>
                <w:szCs w:val="21"/>
              </w:rPr>
            </w:pPr>
            <w:r>
              <w:rPr>
                <w:rFonts w:hint="eastAsia" w:ascii="Times New Roman" w:hAnsi="Times New Roman"/>
                <w:color w:val="000000"/>
                <w:kern w:val="0"/>
                <w:szCs w:val="21"/>
              </w:rPr>
              <w:t>12</w:t>
            </w:r>
          </w:p>
        </w:tc>
        <w:tc>
          <w:tcPr>
            <w:tcW w:w="691" w:type="dxa"/>
            <w:tcBorders>
              <w:top w:val="nil"/>
              <w:left w:val="nil"/>
              <w:bottom w:val="single" w:color="auto" w:sz="4" w:space="0"/>
              <w:right w:val="single" w:color="auto" w:sz="4" w:space="0"/>
            </w:tcBorders>
            <w:noWrap/>
            <w:vAlign w:val="center"/>
          </w:tcPr>
          <w:p w14:paraId="5FD1C6D2">
            <w:pPr>
              <w:widowControl/>
              <w:jc w:val="center"/>
              <w:rPr>
                <w:rFonts w:ascii="Times New Roman" w:hAnsi="Times New Roman"/>
                <w:color w:val="000000"/>
                <w:kern w:val="0"/>
                <w:szCs w:val="21"/>
              </w:rPr>
            </w:pPr>
            <w:r>
              <w:rPr>
                <w:rFonts w:hint="eastAsia" w:ascii="Times New Roman" w:hAnsi="Times New Roman"/>
                <w:color w:val="000000"/>
                <w:kern w:val="0"/>
                <w:szCs w:val="21"/>
              </w:rPr>
              <w:t>13</w:t>
            </w:r>
          </w:p>
        </w:tc>
        <w:tc>
          <w:tcPr>
            <w:tcW w:w="696" w:type="dxa"/>
            <w:tcBorders>
              <w:top w:val="nil"/>
              <w:left w:val="nil"/>
              <w:bottom w:val="single" w:color="auto" w:sz="4" w:space="0"/>
              <w:right w:val="single" w:color="auto" w:sz="4" w:space="0"/>
            </w:tcBorders>
            <w:noWrap/>
            <w:vAlign w:val="center"/>
          </w:tcPr>
          <w:p w14:paraId="105312B0">
            <w:pPr>
              <w:widowControl/>
              <w:jc w:val="center"/>
              <w:rPr>
                <w:rFonts w:ascii="Times New Roman" w:hAnsi="Times New Roman"/>
                <w:color w:val="000000"/>
                <w:kern w:val="0"/>
                <w:szCs w:val="21"/>
              </w:rPr>
            </w:pPr>
            <w:r>
              <w:rPr>
                <w:rFonts w:hint="eastAsia" w:ascii="Times New Roman" w:hAnsi="Times New Roman"/>
                <w:color w:val="000000"/>
                <w:kern w:val="0"/>
                <w:szCs w:val="21"/>
              </w:rPr>
              <w:t>26</w:t>
            </w:r>
          </w:p>
        </w:tc>
      </w:tr>
      <w:tr w14:paraId="5954317C">
        <w:tblPrEx>
          <w:tblCellMar>
            <w:top w:w="0" w:type="dxa"/>
            <w:left w:w="108" w:type="dxa"/>
            <w:bottom w:w="0" w:type="dxa"/>
            <w:right w:w="108" w:type="dxa"/>
          </w:tblCellMar>
        </w:tblPrEx>
        <w:trPr>
          <w:trHeight w:val="315" w:hRule="atLeast"/>
        </w:trPr>
        <w:tc>
          <w:tcPr>
            <w:tcW w:w="567" w:type="dxa"/>
            <w:tcBorders>
              <w:top w:val="nil"/>
              <w:left w:val="single" w:color="auto" w:sz="4" w:space="0"/>
              <w:bottom w:val="single" w:color="auto" w:sz="4" w:space="0"/>
              <w:right w:val="single" w:color="auto" w:sz="4" w:space="0"/>
            </w:tcBorders>
            <w:noWrap/>
            <w:vAlign w:val="center"/>
          </w:tcPr>
          <w:p w14:paraId="12079361">
            <w:pPr>
              <w:widowControl/>
              <w:jc w:val="center"/>
              <w:rPr>
                <w:rFonts w:ascii="Times New Roman" w:hAnsi="Times New Roman"/>
                <w:color w:val="000000"/>
                <w:kern w:val="0"/>
                <w:szCs w:val="21"/>
              </w:rPr>
            </w:pPr>
            <w:r>
              <w:rPr>
                <w:rFonts w:ascii="Times New Roman" w:hAnsi="Times New Roman"/>
                <w:color w:val="000000"/>
                <w:kern w:val="0"/>
                <w:szCs w:val="21"/>
              </w:rPr>
              <w:t>11</w:t>
            </w:r>
          </w:p>
        </w:tc>
        <w:tc>
          <w:tcPr>
            <w:tcW w:w="567" w:type="dxa"/>
            <w:tcBorders>
              <w:top w:val="nil"/>
              <w:left w:val="nil"/>
              <w:bottom w:val="single" w:color="auto" w:sz="4" w:space="0"/>
              <w:right w:val="single" w:color="auto" w:sz="4" w:space="0"/>
            </w:tcBorders>
            <w:noWrap/>
            <w:vAlign w:val="center"/>
          </w:tcPr>
          <w:p w14:paraId="166D04A0">
            <w:pPr>
              <w:widowControl/>
              <w:jc w:val="center"/>
              <w:rPr>
                <w:rFonts w:ascii="Times New Roman" w:hAnsi="Times New Roman"/>
                <w:color w:val="000000"/>
                <w:kern w:val="0"/>
                <w:szCs w:val="21"/>
              </w:rPr>
            </w:pPr>
            <w:r>
              <w:rPr>
                <w:rFonts w:ascii="Times New Roman" w:hAnsi="Times New Roman"/>
                <w:color w:val="000000"/>
                <w:kern w:val="0"/>
                <w:szCs w:val="21"/>
              </w:rPr>
              <w:t>P</w:t>
            </w:r>
          </w:p>
        </w:tc>
        <w:tc>
          <w:tcPr>
            <w:tcW w:w="2127" w:type="dxa"/>
            <w:tcBorders>
              <w:top w:val="nil"/>
              <w:left w:val="nil"/>
              <w:bottom w:val="single" w:color="auto" w:sz="4" w:space="0"/>
              <w:right w:val="single" w:color="auto" w:sz="4" w:space="0"/>
            </w:tcBorders>
            <w:noWrap/>
            <w:vAlign w:val="center"/>
          </w:tcPr>
          <w:p w14:paraId="33A732EA">
            <w:pPr>
              <w:widowControl/>
              <w:jc w:val="left"/>
              <w:rPr>
                <w:rFonts w:ascii="宋体" w:hAnsi="宋体" w:cs="宋体"/>
                <w:color w:val="000000"/>
                <w:kern w:val="0"/>
                <w:szCs w:val="21"/>
              </w:rPr>
            </w:pPr>
            <w:r>
              <w:rPr>
                <w:rFonts w:hint="eastAsia" w:ascii="宋体" w:hAnsi="宋体" w:cs="宋体"/>
                <w:color w:val="000000"/>
                <w:kern w:val="0"/>
                <w:szCs w:val="21"/>
              </w:rPr>
              <w:t>教育</w:t>
            </w:r>
          </w:p>
        </w:tc>
        <w:tc>
          <w:tcPr>
            <w:tcW w:w="708" w:type="dxa"/>
            <w:tcBorders>
              <w:top w:val="nil"/>
              <w:left w:val="nil"/>
              <w:bottom w:val="single" w:color="auto" w:sz="4" w:space="0"/>
              <w:right w:val="single" w:color="auto" w:sz="4" w:space="0"/>
            </w:tcBorders>
            <w:noWrap/>
            <w:vAlign w:val="center"/>
          </w:tcPr>
          <w:p w14:paraId="59D04E23">
            <w:pPr>
              <w:widowControl/>
              <w:jc w:val="center"/>
              <w:rPr>
                <w:rFonts w:ascii="Times New Roman" w:hAnsi="Times New Roman"/>
                <w:color w:val="000000"/>
                <w:kern w:val="0"/>
                <w:szCs w:val="21"/>
              </w:rPr>
            </w:pPr>
            <w:r>
              <w:rPr>
                <w:rFonts w:ascii="Times New Roman" w:hAnsi="Times New Roman"/>
                <w:color w:val="000000"/>
                <w:kern w:val="0"/>
                <w:szCs w:val="21"/>
              </w:rPr>
              <w:t>4</w:t>
            </w:r>
          </w:p>
        </w:tc>
        <w:tc>
          <w:tcPr>
            <w:tcW w:w="696" w:type="dxa"/>
            <w:tcBorders>
              <w:top w:val="nil"/>
              <w:left w:val="nil"/>
              <w:bottom w:val="single" w:color="auto" w:sz="4" w:space="0"/>
              <w:right w:val="single" w:color="auto" w:sz="4" w:space="0"/>
            </w:tcBorders>
            <w:noWrap/>
            <w:vAlign w:val="center"/>
          </w:tcPr>
          <w:p w14:paraId="2AF6AAF3">
            <w:pPr>
              <w:widowControl/>
              <w:jc w:val="center"/>
              <w:rPr>
                <w:rFonts w:ascii="Times New Roman" w:hAnsi="Times New Roman"/>
                <w:color w:val="000000"/>
                <w:kern w:val="0"/>
                <w:szCs w:val="21"/>
              </w:rPr>
            </w:pPr>
            <w:r>
              <w:rPr>
                <w:rFonts w:hint="eastAsia" w:ascii="Times New Roman" w:hAnsi="Times New Roman"/>
                <w:color w:val="000000"/>
                <w:kern w:val="0"/>
                <w:szCs w:val="21"/>
              </w:rPr>
              <w:t>8</w:t>
            </w:r>
          </w:p>
        </w:tc>
        <w:tc>
          <w:tcPr>
            <w:tcW w:w="721" w:type="dxa"/>
            <w:tcBorders>
              <w:top w:val="nil"/>
              <w:left w:val="nil"/>
              <w:bottom w:val="single" w:color="auto" w:sz="4" w:space="0"/>
              <w:right w:val="single" w:color="auto" w:sz="4" w:space="0"/>
            </w:tcBorders>
            <w:noWrap/>
            <w:vAlign w:val="center"/>
          </w:tcPr>
          <w:p w14:paraId="7DC78FE5">
            <w:pPr>
              <w:widowControl/>
              <w:jc w:val="center"/>
              <w:rPr>
                <w:rFonts w:ascii="Times New Roman" w:hAnsi="Times New Roman"/>
                <w:color w:val="000000"/>
                <w:kern w:val="0"/>
                <w:szCs w:val="21"/>
              </w:rPr>
            </w:pPr>
            <w:r>
              <w:rPr>
                <w:rFonts w:ascii="Times New Roman" w:hAnsi="Times New Roman"/>
                <w:color w:val="000000"/>
                <w:kern w:val="0"/>
                <w:szCs w:val="21"/>
              </w:rPr>
              <w:t>　</w:t>
            </w:r>
          </w:p>
        </w:tc>
        <w:tc>
          <w:tcPr>
            <w:tcW w:w="851" w:type="dxa"/>
            <w:tcBorders>
              <w:top w:val="nil"/>
              <w:left w:val="nil"/>
              <w:bottom w:val="single" w:color="auto" w:sz="4" w:space="0"/>
              <w:right w:val="single" w:color="auto" w:sz="4" w:space="0"/>
            </w:tcBorders>
            <w:noWrap/>
            <w:vAlign w:val="center"/>
          </w:tcPr>
          <w:p w14:paraId="68A6CCE1">
            <w:pPr>
              <w:widowControl/>
              <w:jc w:val="center"/>
              <w:rPr>
                <w:rFonts w:ascii="Times New Roman" w:hAnsi="Times New Roman"/>
                <w:color w:val="000000"/>
                <w:kern w:val="0"/>
                <w:szCs w:val="21"/>
              </w:rPr>
            </w:pPr>
            <w:r>
              <w:rPr>
                <w:rFonts w:ascii="Times New Roman" w:hAnsi="Times New Roman"/>
                <w:color w:val="000000"/>
                <w:kern w:val="0"/>
                <w:szCs w:val="21"/>
              </w:rPr>
              <w:t>　</w:t>
            </w:r>
          </w:p>
        </w:tc>
        <w:tc>
          <w:tcPr>
            <w:tcW w:w="847" w:type="dxa"/>
            <w:tcBorders>
              <w:top w:val="nil"/>
              <w:left w:val="nil"/>
              <w:bottom w:val="single" w:color="auto" w:sz="4" w:space="0"/>
              <w:right w:val="single" w:color="auto" w:sz="4" w:space="0"/>
            </w:tcBorders>
            <w:noWrap/>
            <w:vAlign w:val="center"/>
          </w:tcPr>
          <w:p w14:paraId="6083BB6C">
            <w:pPr>
              <w:widowControl/>
              <w:jc w:val="center"/>
              <w:rPr>
                <w:rFonts w:ascii="Times New Roman" w:hAnsi="Times New Roman"/>
                <w:color w:val="000000"/>
                <w:kern w:val="0"/>
                <w:szCs w:val="21"/>
              </w:rPr>
            </w:pPr>
            <w:r>
              <w:rPr>
                <w:rFonts w:hint="eastAsia" w:ascii="Times New Roman" w:hAnsi="Times New Roman"/>
                <w:color w:val="000000"/>
                <w:kern w:val="0"/>
                <w:szCs w:val="21"/>
              </w:rPr>
              <w:t>1</w:t>
            </w:r>
          </w:p>
        </w:tc>
        <w:tc>
          <w:tcPr>
            <w:tcW w:w="691" w:type="dxa"/>
            <w:tcBorders>
              <w:top w:val="nil"/>
              <w:left w:val="nil"/>
              <w:bottom w:val="single" w:color="auto" w:sz="4" w:space="0"/>
              <w:right w:val="single" w:color="auto" w:sz="4" w:space="0"/>
            </w:tcBorders>
            <w:noWrap/>
            <w:vAlign w:val="center"/>
          </w:tcPr>
          <w:p w14:paraId="1C137AE8">
            <w:pPr>
              <w:widowControl/>
              <w:jc w:val="center"/>
              <w:rPr>
                <w:rFonts w:ascii="Times New Roman" w:hAnsi="Times New Roman"/>
                <w:color w:val="000000"/>
                <w:kern w:val="0"/>
                <w:szCs w:val="21"/>
              </w:rPr>
            </w:pPr>
            <w:r>
              <w:rPr>
                <w:rFonts w:ascii="Times New Roman" w:hAnsi="Times New Roman"/>
                <w:color w:val="000000"/>
                <w:kern w:val="0"/>
                <w:szCs w:val="21"/>
              </w:rPr>
              <w:t>4</w:t>
            </w:r>
          </w:p>
        </w:tc>
        <w:tc>
          <w:tcPr>
            <w:tcW w:w="696" w:type="dxa"/>
            <w:tcBorders>
              <w:top w:val="nil"/>
              <w:left w:val="nil"/>
              <w:bottom w:val="single" w:color="auto" w:sz="4" w:space="0"/>
              <w:right w:val="single" w:color="auto" w:sz="4" w:space="0"/>
            </w:tcBorders>
            <w:noWrap/>
            <w:vAlign w:val="center"/>
          </w:tcPr>
          <w:p w14:paraId="6C0A80BA">
            <w:pPr>
              <w:widowControl/>
              <w:jc w:val="center"/>
              <w:rPr>
                <w:rFonts w:ascii="Times New Roman" w:hAnsi="Times New Roman"/>
                <w:color w:val="000000"/>
                <w:kern w:val="0"/>
                <w:szCs w:val="21"/>
              </w:rPr>
            </w:pPr>
            <w:r>
              <w:rPr>
                <w:rFonts w:ascii="Times New Roman" w:hAnsi="Times New Roman"/>
                <w:color w:val="000000"/>
                <w:kern w:val="0"/>
                <w:szCs w:val="21"/>
              </w:rPr>
              <w:t>8</w:t>
            </w:r>
          </w:p>
        </w:tc>
      </w:tr>
      <w:tr w14:paraId="554CC132">
        <w:tblPrEx>
          <w:tblCellMar>
            <w:top w:w="0" w:type="dxa"/>
            <w:left w:w="108" w:type="dxa"/>
            <w:bottom w:w="0" w:type="dxa"/>
            <w:right w:w="108" w:type="dxa"/>
          </w:tblCellMar>
        </w:tblPrEx>
        <w:trPr>
          <w:trHeight w:val="315" w:hRule="atLeast"/>
        </w:trPr>
        <w:tc>
          <w:tcPr>
            <w:tcW w:w="567" w:type="dxa"/>
            <w:tcBorders>
              <w:top w:val="nil"/>
              <w:left w:val="single" w:color="auto" w:sz="4" w:space="0"/>
              <w:bottom w:val="single" w:color="auto" w:sz="4" w:space="0"/>
              <w:right w:val="single" w:color="auto" w:sz="4" w:space="0"/>
            </w:tcBorders>
            <w:noWrap/>
            <w:vAlign w:val="center"/>
          </w:tcPr>
          <w:p w14:paraId="310ACD75">
            <w:pPr>
              <w:widowControl/>
              <w:jc w:val="center"/>
              <w:rPr>
                <w:rFonts w:ascii="Times New Roman" w:hAnsi="Times New Roman"/>
                <w:color w:val="000000"/>
                <w:kern w:val="0"/>
                <w:szCs w:val="21"/>
              </w:rPr>
            </w:pPr>
            <w:r>
              <w:rPr>
                <w:rFonts w:ascii="Times New Roman" w:hAnsi="Times New Roman"/>
                <w:color w:val="000000"/>
                <w:kern w:val="0"/>
                <w:szCs w:val="21"/>
              </w:rPr>
              <w:t>12</w:t>
            </w:r>
          </w:p>
        </w:tc>
        <w:tc>
          <w:tcPr>
            <w:tcW w:w="567" w:type="dxa"/>
            <w:tcBorders>
              <w:top w:val="nil"/>
              <w:left w:val="nil"/>
              <w:bottom w:val="single" w:color="auto" w:sz="4" w:space="0"/>
              <w:right w:val="single" w:color="auto" w:sz="4" w:space="0"/>
            </w:tcBorders>
            <w:noWrap/>
            <w:vAlign w:val="center"/>
          </w:tcPr>
          <w:p w14:paraId="62BD848A">
            <w:pPr>
              <w:widowControl/>
              <w:jc w:val="center"/>
              <w:rPr>
                <w:rFonts w:ascii="Times New Roman" w:hAnsi="Times New Roman"/>
                <w:color w:val="000000"/>
                <w:kern w:val="0"/>
                <w:szCs w:val="21"/>
              </w:rPr>
            </w:pPr>
            <w:r>
              <w:rPr>
                <w:rFonts w:ascii="Times New Roman" w:hAnsi="Times New Roman"/>
                <w:color w:val="000000"/>
                <w:kern w:val="0"/>
                <w:szCs w:val="21"/>
              </w:rPr>
              <w:t>Q</w:t>
            </w:r>
          </w:p>
        </w:tc>
        <w:tc>
          <w:tcPr>
            <w:tcW w:w="2127" w:type="dxa"/>
            <w:tcBorders>
              <w:top w:val="nil"/>
              <w:left w:val="nil"/>
              <w:bottom w:val="single" w:color="auto" w:sz="4" w:space="0"/>
              <w:right w:val="single" w:color="auto" w:sz="4" w:space="0"/>
            </w:tcBorders>
            <w:noWrap/>
            <w:vAlign w:val="center"/>
          </w:tcPr>
          <w:p w14:paraId="28D2FA0C">
            <w:pPr>
              <w:widowControl/>
              <w:jc w:val="left"/>
              <w:rPr>
                <w:rFonts w:ascii="宋体" w:hAnsi="宋体" w:cs="宋体"/>
                <w:color w:val="000000"/>
                <w:kern w:val="0"/>
                <w:szCs w:val="21"/>
              </w:rPr>
            </w:pPr>
            <w:r>
              <w:rPr>
                <w:rFonts w:hint="eastAsia" w:ascii="宋体" w:hAnsi="宋体" w:cs="宋体"/>
                <w:color w:val="000000"/>
                <w:kern w:val="0"/>
                <w:szCs w:val="21"/>
              </w:rPr>
              <w:t>卫生和社会工作</w:t>
            </w:r>
          </w:p>
        </w:tc>
        <w:tc>
          <w:tcPr>
            <w:tcW w:w="708" w:type="dxa"/>
            <w:tcBorders>
              <w:top w:val="nil"/>
              <w:left w:val="nil"/>
              <w:bottom w:val="single" w:color="auto" w:sz="4" w:space="0"/>
              <w:right w:val="single" w:color="auto" w:sz="4" w:space="0"/>
            </w:tcBorders>
            <w:noWrap/>
            <w:vAlign w:val="center"/>
          </w:tcPr>
          <w:p w14:paraId="565DD162">
            <w:pPr>
              <w:widowControl/>
              <w:jc w:val="center"/>
              <w:rPr>
                <w:rFonts w:ascii="Times New Roman" w:hAnsi="Times New Roman"/>
                <w:color w:val="000000"/>
                <w:kern w:val="0"/>
                <w:szCs w:val="21"/>
              </w:rPr>
            </w:pPr>
            <w:r>
              <w:rPr>
                <w:rFonts w:hint="eastAsia" w:ascii="Times New Roman" w:hAnsi="Times New Roman"/>
                <w:color w:val="000000"/>
                <w:kern w:val="0"/>
                <w:szCs w:val="21"/>
              </w:rPr>
              <w:t>7</w:t>
            </w:r>
          </w:p>
        </w:tc>
        <w:tc>
          <w:tcPr>
            <w:tcW w:w="696" w:type="dxa"/>
            <w:tcBorders>
              <w:top w:val="nil"/>
              <w:left w:val="nil"/>
              <w:bottom w:val="single" w:color="auto" w:sz="4" w:space="0"/>
              <w:right w:val="single" w:color="auto" w:sz="4" w:space="0"/>
            </w:tcBorders>
            <w:noWrap/>
            <w:vAlign w:val="center"/>
          </w:tcPr>
          <w:p w14:paraId="4B54AB26">
            <w:pPr>
              <w:widowControl/>
              <w:jc w:val="center"/>
              <w:rPr>
                <w:rFonts w:ascii="Times New Roman" w:hAnsi="Times New Roman"/>
                <w:color w:val="000000"/>
                <w:kern w:val="0"/>
                <w:szCs w:val="21"/>
              </w:rPr>
            </w:pPr>
            <w:r>
              <w:rPr>
                <w:rFonts w:hint="eastAsia" w:ascii="Times New Roman" w:hAnsi="Times New Roman"/>
                <w:color w:val="000000"/>
                <w:kern w:val="0"/>
                <w:szCs w:val="21"/>
              </w:rPr>
              <w:t>14</w:t>
            </w:r>
          </w:p>
        </w:tc>
        <w:tc>
          <w:tcPr>
            <w:tcW w:w="721" w:type="dxa"/>
            <w:tcBorders>
              <w:top w:val="nil"/>
              <w:left w:val="nil"/>
              <w:bottom w:val="single" w:color="auto" w:sz="4" w:space="0"/>
              <w:right w:val="single" w:color="auto" w:sz="4" w:space="0"/>
            </w:tcBorders>
            <w:noWrap/>
            <w:vAlign w:val="center"/>
          </w:tcPr>
          <w:p w14:paraId="6D39AD68">
            <w:pPr>
              <w:widowControl/>
              <w:jc w:val="center"/>
              <w:rPr>
                <w:rFonts w:ascii="Times New Roman" w:hAnsi="Times New Roman"/>
                <w:color w:val="000000"/>
                <w:kern w:val="0"/>
                <w:szCs w:val="21"/>
              </w:rPr>
            </w:pPr>
            <w:r>
              <w:rPr>
                <w:rFonts w:ascii="Times New Roman" w:hAnsi="Times New Roman"/>
                <w:color w:val="000000"/>
                <w:kern w:val="0"/>
                <w:szCs w:val="21"/>
              </w:rPr>
              <w:t>　</w:t>
            </w:r>
          </w:p>
        </w:tc>
        <w:tc>
          <w:tcPr>
            <w:tcW w:w="851" w:type="dxa"/>
            <w:tcBorders>
              <w:top w:val="nil"/>
              <w:left w:val="nil"/>
              <w:bottom w:val="single" w:color="auto" w:sz="4" w:space="0"/>
              <w:right w:val="single" w:color="auto" w:sz="4" w:space="0"/>
            </w:tcBorders>
            <w:noWrap/>
            <w:vAlign w:val="center"/>
          </w:tcPr>
          <w:p w14:paraId="0B0A47F8">
            <w:pPr>
              <w:widowControl/>
              <w:jc w:val="center"/>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　</w:t>
            </w:r>
          </w:p>
        </w:tc>
        <w:tc>
          <w:tcPr>
            <w:tcW w:w="847" w:type="dxa"/>
            <w:tcBorders>
              <w:top w:val="nil"/>
              <w:left w:val="nil"/>
              <w:bottom w:val="single" w:color="auto" w:sz="4" w:space="0"/>
              <w:right w:val="single" w:color="auto" w:sz="4" w:space="0"/>
            </w:tcBorders>
            <w:noWrap/>
            <w:vAlign w:val="center"/>
          </w:tcPr>
          <w:p w14:paraId="7E1DB51C">
            <w:pPr>
              <w:widowControl/>
              <w:jc w:val="center"/>
              <w:rPr>
                <w:rFonts w:ascii="Times New Roman" w:hAnsi="Times New Roman"/>
                <w:color w:val="000000"/>
                <w:kern w:val="0"/>
                <w:szCs w:val="21"/>
              </w:rPr>
            </w:pPr>
            <w:r>
              <w:rPr>
                <w:rFonts w:hint="eastAsia" w:ascii="Times New Roman" w:hAnsi="Times New Roman"/>
                <w:color w:val="000000"/>
                <w:kern w:val="0"/>
                <w:szCs w:val="21"/>
              </w:rPr>
              <w:t>3</w:t>
            </w:r>
          </w:p>
        </w:tc>
        <w:tc>
          <w:tcPr>
            <w:tcW w:w="691" w:type="dxa"/>
            <w:tcBorders>
              <w:top w:val="nil"/>
              <w:left w:val="nil"/>
              <w:bottom w:val="single" w:color="auto" w:sz="4" w:space="0"/>
              <w:right w:val="single" w:color="auto" w:sz="4" w:space="0"/>
            </w:tcBorders>
            <w:noWrap/>
            <w:vAlign w:val="center"/>
          </w:tcPr>
          <w:p w14:paraId="779813BD">
            <w:pPr>
              <w:widowControl/>
              <w:jc w:val="center"/>
              <w:rPr>
                <w:rFonts w:ascii="Times New Roman" w:hAnsi="Times New Roman"/>
                <w:color w:val="000000"/>
                <w:kern w:val="0"/>
                <w:szCs w:val="21"/>
              </w:rPr>
            </w:pPr>
            <w:r>
              <w:rPr>
                <w:rFonts w:hint="eastAsia" w:ascii="Times New Roman" w:hAnsi="Times New Roman"/>
                <w:color w:val="000000"/>
                <w:kern w:val="0"/>
                <w:szCs w:val="21"/>
              </w:rPr>
              <w:t>8</w:t>
            </w:r>
          </w:p>
        </w:tc>
        <w:tc>
          <w:tcPr>
            <w:tcW w:w="696" w:type="dxa"/>
            <w:tcBorders>
              <w:top w:val="nil"/>
              <w:left w:val="nil"/>
              <w:bottom w:val="single" w:color="auto" w:sz="4" w:space="0"/>
              <w:right w:val="single" w:color="auto" w:sz="4" w:space="0"/>
            </w:tcBorders>
            <w:noWrap/>
            <w:vAlign w:val="center"/>
          </w:tcPr>
          <w:p w14:paraId="56B1EB47">
            <w:pPr>
              <w:widowControl/>
              <w:jc w:val="center"/>
              <w:rPr>
                <w:rFonts w:ascii="Times New Roman" w:hAnsi="Times New Roman"/>
                <w:color w:val="000000"/>
                <w:kern w:val="0"/>
                <w:szCs w:val="21"/>
              </w:rPr>
            </w:pPr>
            <w:r>
              <w:rPr>
                <w:rFonts w:hint="eastAsia" w:ascii="Times New Roman" w:hAnsi="Times New Roman"/>
                <w:color w:val="000000"/>
                <w:kern w:val="0"/>
                <w:szCs w:val="21"/>
              </w:rPr>
              <w:t>16</w:t>
            </w:r>
          </w:p>
        </w:tc>
      </w:tr>
      <w:tr w14:paraId="3B88128A">
        <w:tblPrEx>
          <w:tblCellMar>
            <w:top w:w="0" w:type="dxa"/>
            <w:left w:w="108" w:type="dxa"/>
            <w:bottom w:w="0" w:type="dxa"/>
            <w:right w:w="108" w:type="dxa"/>
          </w:tblCellMar>
        </w:tblPrEx>
        <w:trPr>
          <w:trHeight w:val="315" w:hRule="atLeast"/>
        </w:trPr>
        <w:tc>
          <w:tcPr>
            <w:tcW w:w="567" w:type="dxa"/>
            <w:tcBorders>
              <w:top w:val="nil"/>
              <w:left w:val="single" w:color="auto" w:sz="4" w:space="0"/>
              <w:bottom w:val="single" w:color="auto" w:sz="4" w:space="0"/>
              <w:right w:val="single" w:color="auto" w:sz="4" w:space="0"/>
            </w:tcBorders>
            <w:noWrap/>
            <w:vAlign w:val="center"/>
          </w:tcPr>
          <w:p w14:paraId="4B235233">
            <w:pPr>
              <w:widowControl/>
              <w:jc w:val="center"/>
              <w:rPr>
                <w:rFonts w:ascii="Times New Roman" w:hAnsi="Times New Roman"/>
                <w:color w:val="000000"/>
                <w:kern w:val="0"/>
                <w:szCs w:val="21"/>
              </w:rPr>
            </w:pPr>
            <w:r>
              <w:rPr>
                <w:rFonts w:ascii="Times New Roman" w:hAnsi="Times New Roman"/>
                <w:color w:val="000000"/>
                <w:kern w:val="0"/>
                <w:szCs w:val="21"/>
              </w:rPr>
              <w:t>13</w:t>
            </w:r>
          </w:p>
        </w:tc>
        <w:tc>
          <w:tcPr>
            <w:tcW w:w="567" w:type="dxa"/>
            <w:tcBorders>
              <w:top w:val="nil"/>
              <w:left w:val="nil"/>
              <w:bottom w:val="single" w:color="auto" w:sz="4" w:space="0"/>
              <w:right w:val="single" w:color="auto" w:sz="4" w:space="0"/>
            </w:tcBorders>
            <w:noWrap/>
            <w:vAlign w:val="center"/>
          </w:tcPr>
          <w:p w14:paraId="7B0EE850">
            <w:pPr>
              <w:widowControl/>
              <w:jc w:val="center"/>
              <w:rPr>
                <w:rFonts w:ascii="Times New Roman" w:hAnsi="Times New Roman"/>
                <w:color w:val="000000"/>
                <w:kern w:val="0"/>
                <w:szCs w:val="21"/>
              </w:rPr>
            </w:pPr>
            <w:r>
              <w:rPr>
                <w:rFonts w:ascii="Times New Roman" w:hAnsi="Times New Roman"/>
                <w:color w:val="000000"/>
                <w:kern w:val="0"/>
                <w:szCs w:val="21"/>
              </w:rPr>
              <w:t>R</w:t>
            </w:r>
          </w:p>
        </w:tc>
        <w:tc>
          <w:tcPr>
            <w:tcW w:w="2127" w:type="dxa"/>
            <w:tcBorders>
              <w:top w:val="nil"/>
              <w:left w:val="nil"/>
              <w:bottom w:val="single" w:color="auto" w:sz="4" w:space="0"/>
              <w:right w:val="single" w:color="auto" w:sz="4" w:space="0"/>
            </w:tcBorders>
            <w:noWrap/>
            <w:vAlign w:val="center"/>
          </w:tcPr>
          <w:p w14:paraId="0A20C62F">
            <w:pPr>
              <w:widowControl/>
              <w:jc w:val="left"/>
              <w:rPr>
                <w:rFonts w:ascii="宋体" w:hAnsi="宋体" w:cs="宋体"/>
                <w:color w:val="000000"/>
                <w:kern w:val="0"/>
                <w:szCs w:val="21"/>
              </w:rPr>
            </w:pPr>
            <w:r>
              <w:rPr>
                <w:rFonts w:hint="eastAsia" w:ascii="宋体" w:hAnsi="宋体" w:cs="宋体"/>
                <w:color w:val="000000"/>
                <w:kern w:val="0"/>
                <w:szCs w:val="21"/>
              </w:rPr>
              <w:t>文化、体育和娱乐业</w:t>
            </w:r>
          </w:p>
        </w:tc>
        <w:tc>
          <w:tcPr>
            <w:tcW w:w="708" w:type="dxa"/>
            <w:tcBorders>
              <w:top w:val="nil"/>
              <w:left w:val="nil"/>
              <w:bottom w:val="single" w:color="auto" w:sz="4" w:space="0"/>
              <w:right w:val="single" w:color="auto" w:sz="4" w:space="0"/>
            </w:tcBorders>
            <w:noWrap/>
            <w:vAlign w:val="center"/>
          </w:tcPr>
          <w:p w14:paraId="1F8A122B">
            <w:pPr>
              <w:widowControl/>
              <w:jc w:val="center"/>
              <w:rPr>
                <w:rFonts w:ascii="Times New Roman" w:hAnsi="Times New Roman"/>
                <w:color w:val="000000"/>
                <w:kern w:val="0"/>
                <w:szCs w:val="21"/>
              </w:rPr>
            </w:pPr>
            <w:r>
              <w:rPr>
                <w:rFonts w:hint="eastAsia" w:ascii="Times New Roman" w:hAnsi="Times New Roman"/>
                <w:color w:val="000000"/>
                <w:kern w:val="0"/>
                <w:szCs w:val="21"/>
              </w:rPr>
              <w:t>13</w:t>
            </w:r>
          </w:p>
        </w:tc>
        <w:tc>
          <w:tcPr>
            <w:tcW w:w="696" w:type="dxa"/>
            <w:tcBorders>
              <w:top w:val="nil"/>
              <w:left w:val="nil"/>
              <w:bottom w:val="single" w:color="auto" w:sz="4" w:space="0"/>
              <w:right w:val="single" w:color="auto" w:sz="4" w:space="0"/>
            </w:tcBorders>
            <w:noWrap/>
            <w:vAlign w:val="center"/>
          </w:tcPr>
          <w:p w14:paraId="52FC6EBB">
            <w:pPr>
              <w:widowControl/>
              <w:jc w:val="center"/>
              <w:rPr>
                <w:rFonts w:ascii="Times New Roman" w:hAnsi="Times New Roman"/>
                <w:color w:val="000000"/>
                <w:kern w:val="0"/>
                <w:szCs w:val="21"/>
              </w:rPr>
            </w:pPr>
            <w:r>
              <w:rPr>
                <w:rFonts w:hint="eastAsia" w:ascii="Times New Roman" w:hAnsi="Times New Roman"/>
                <w:color w:val="000000"/>
                <w:kern w:val="0"/>
                <w:szCs w:val="21"/>
              </w:rPr>
              <w:t>26</w:t>
            </w:r>
          </w:p>
        </w:tc>
        <w:tc>
          <w:tcPr>
            <w:tcW w:w="721" w:type="dxa"/>
            <w:tcBorders>
              <w:top w:val="nil"/>
              <w:left w:val="nil"/>
              <w:bottom w:val="single" w:color="auto" w:sz="4" w:space="0"/>
              <w:right w:val="single" w:color="auto" w:sz="4" w:space="0"/>
            </w:tcBorders>
            <w:noWrap/>
            <w:vAlign w:val="center"/>
          </w:tcPr>
          <w:p w14:paraId="2607E884">
            <w:pPr>
              <w:widowControl/>
              <w:jc w:val="center"/>
              <w:rPr>
                <w:rFonts w:ascii="Times New Roman" w:hAnsi="Times New Roman"/>
                <w:color w:val="000000"/>
                <w:kern w:val="0"/>
                <w:szCs w:val="21"/>
              </w:rPr>
            </w:pPr>
            <w:r>
              <w:rPr>
                <w:rFonts w:ascii="Times New Roman" w:hAnsi="Times New Roman"/>
                <w:color w:val="000000"/>
                <w:kern w:val="0"/>
                <w:szCs w:val="21"/>
              </w:rPr>
              <w:t>　</w:t>
            </w:r>
          </w:p>
        </w:tc>
        <w:tc>
          <w:tcPr>
            <w:tcW w:w="851" w:type="dxa"/>
            <w:tcBorders>
              <w:top w:val="nil"/>
              <w:left w:val="nil"/>
              <w:bottom w:val="single" w:color="auto" w:sz="4" w:space="0"/>
              <w:right w:val="single" w:color="auto" w:sz="4" w:space="0"/>
            </w:tcBorders>
            <w:noWrap/>
            <w:vAlign w:val="center"/>
          </w:tcPr>
          <w:p w14:paraId="49AFB8DF">
            <w:pPr>
              <w:widowControl/>
              <w:jc w:val="center"/>
              <w:rPr>
                <w:rFonts w:ascii="Times New Roman" w:hAnsi="Times New Roman"/>
                <w:color w:val="000000"/>
                <w:kern w:val="0"/>
                <w:szCs w:val="21"/>
              </w:rPr>
            </w:pPr>
            <w:r>
              <w:rPr>
                <w:rFonts w:hint="eastAsia" w:ascii="Times New Roman" w:hAnsi="Times New Roman"/>
                <w:color w:val="000000"/>
                <w:kern w:val="0"/>
                <w:szCs w:val="21"/>
              </w:rPr>
              <w:t>2</w:t>
            </w:r>
          </w:p>
        </w:tc>
        <w:tc>
          <w:tcPr>
            <w:tcW w:w="847" w:type="dxa"/>
            <w:tcBorders>
              <w:top w:val="nil"/>
              <w:left w:val="nil"/>
              <w:bottom w:val="single" w:color="auto" w:sz="4" w:space="0"/>
              <w:right w:val="single" w:color="auto" w:sz="4" w:space="0"/>
            </w:tcBorders>
            <w:noWrap/>
            <w:vAlign w:val="center"/>
          </w:tcPr>
          <w:p w14:paraId="4440586F">
            <w:pPr>
              <w:widowControl/>
              <w:jc w:val="center"/>
              <w:rPr>
                <w:rFonts w:ascii="Times New Roman" w:hAnsi="Times New Roman"/>
                <w:color w:val="000000"/>
                <w:kern w:val="0"/>
                <w:szCs w:val="21"/>
              </w:rPr>
            </w:pPr>
            <w:r>
              <w:rPr>
                <w:rFonts w:hint="eastAsia" w:ascii="Times New Roman" w:hAnsi="Times New Roman"/>
                <w:color w:val="000000"/>
                <w:kern w:val="0"/>
                <w:szCs w:val="21"/>
              </w:rPr>
              <w:t>10</w:t>
            </w:r>
          </w:p>
        </w:tc>
        <w:tc>
          <w:tcPr>
            <w:tcW w:w="691" w:type="dxa"/>
            <w:tcBorders>
              <w:top w:val="nil"/>
              <w:left w:val="nil"/>
              <w:bottom w:val="single" w:color="auto" w:sz="4" w:space="0"/>
              <w:right w:val="single" w:color="auto" w:sz="4" w:space="0"/>
            </w:tcBorders>
            <w:noWrap/>
            <w:vAlign w:val="center"/>
          </w:tcPr>
          <w:p w14:paraId="1F4319D9">
            <w:pPr>
              <w:widowControl/>
              <w:jc w:val="center"/>
              <w:rPr>
                <w:rFonts w:ascii="Times New Roman" w:hAnsi="Times New Roman"/>
                <w:color w:val="000000"/>
                <w:kern w:val="0"/>
                <w:szCs w:val="21"/>
              </w:rPr>
            </w:pPr>
            <w:r>
              <w:rPr>
                <w:rFonts w:hint="eastAsia" w:ascii="Times New Roman" w:hAnsi="Times New Roman"/>
                <w:color w:val="000000"/>
                <w:kern w:val="0"/>
                <w:szCs w:val="21"/>
              </w:rPr>
              <w:t>14</w:t>
            </w:r>
          </w:p>
        </w:tc>
        <w:tc>
          <w:tcPr>
            <w:tcW w:w="696" w:type="dxa"/>
            <w:tcBorders>
              <w:top w:val="nil"/>
              <w:left w:val="nil"/>
              <w:bottom w:val="single" w:color="auto" w:sz="4" w:space="0"/>
              <w:right w:val="single" w:color="auto" w:sz="4" w:space="0"/>
            </w:tcBorders>
            <w:noWrap/>
            <w:vAlign w:val="center"/>
          </w:tcPr>
          <w:p w14:paraId="74C57697">
            <w:pPr>
              <w:widowControl/>
              <w:jc w:val="center"/>
              <w:rPr>
                <w:rFonts w:ascii="Times New Roman" w:hAnsi="Times New Roman"/>
                <w:color w:val="000000"/>
                <w:kern w:val="0"/>
                <w:szCs w:val="21"/>
              </w:rPr>
            </w:pPr>
            <w:r>
              <w:rPr>
                <w:rFonts w:ascii="Times New Roman" w:hAnsi="Times New Roman"/>
                <w:color w:val="000000"/>
                <w:kern w:val="0"/>
                <w:szCs w:val="21"/>
              </w:rPr>
              <w:t>2</w:t>
            </w:r>
            <w:r>
              <w:rPr>
                <w:rFonts w:hint="eastAsia" w:ascii="Times New Roman" w:hAnsi="Times New Roman"/>
                <w:color w:val="000000"/>
                <w:kern w:val="0"/>
                <w:szCs w:val="21"/>
              </w:rPr>
              <w:t>8</w:t>
            </w:r>
          </w:p>
        </w:tc>
      </w:tr>
      <w:tr w14:paraId="62FA5E29">
        <w:tblPrEx>
          <w:tblCellMar>
            <w:top w:w="0" w:type="dxa"/>
            <w:left w:w="108" w:type="dxa"/>
            <w:bottom w:w="0" w:type="dxa"/>
            <w:right w:w="108" w:type="dxa"/>
          </w:tblCellMar>
        </w:tblPrEx>
        <w:trPr>
          <w:trHeight w:val="315" w:hRule="atLeast"/>
        </w:trPr>
        <w:tc>
          <w:tcPr>
            <w:tcW w:w="567" w:type="dxa"/>
            <w:tcBorders>
              <w:top w:val="nil"/>
              <w:left w:val="single" w:color="auto" w:sz="4" w:space="0"/>
              <w:bottom w:val="single" w:color="auto" w:sz="4" w:space="0"/>
              <w:right w:val="single" w:color="auto" w:sz="4" w:space="0"/>
            </w:tcBorders>
            <w:noWrap/>
            <w:vAlign w:val="center"/>
          </w:tcPr>
          <w:p w14:paraId="27829E53">
            <w:pPr>
              <w:widowControl/>
              <w:jc w:val="center"/>
              <w:rPr>
                <w:rFonts w:ascii="Times New Roman" w:hAnsi="Times New Roman"/>
                <w:color w:val="000000"/>
                <w:kern w:val="0"/>
                <w:szCs w:val="21"/>
              </w:rPr>
            </w:pPr>
            <w:r>
              <w:rPr>
                <w:rFonts w:ascii="Times New Roman" w:hAnsi="Times New Roman"/>
                <w:color w:val="000000"/>
                <w:kern w:val="0"/>
                <w:szCs w:val="21"/>
              </w:rPr>
              <w:t>14</w:t>
            </w:r>
          </w:p>
        </w:tc>
        <w:tc>
          <w:tcPr>
            <w:tcW w:w="567" w:type="dxa"/>
            <w:tcBorders>
              <w:top w:val="nil"/>
              <w:left w:val="nil"/>
              <w:bottom w:val="single" w:color="auto" w:sz="4" w:space="0"/>
              <w:right w:val="single" w:color="auto" w:sz="4" w:space="0"/>
            </w:tcBorders>
            <w:noWrap/>
            <w:vAlign w:val="center"/>
          </w:tcPr>
          <w:p w14:paraId="04A874A5">
            <w:pPr>
              <w:widowControl/>
              <w:jc w:val="center"/>
              <w:rPr>
                <w:rFonts w:ascii="Times New Roman" w:hAnsi="Times New Roman"/>
                <w:color w:val="000000"/>
                <w:kern w:val="0"/>
                <w:szCs w:val="21"/>
              </w:rPr>
            </w:pPr>
            <w:r>
              <w:rPr>
                <w:rFonts w:ascii="Times New Roman" w:hAnsi="Times New Roman"/>
                <w:color w:val="000000"/>
                <w:kern w:val="0"/>
                <w:szCs w:val="21"/>
              </w:rPr>
              <w:t>S</w:t>
            </w:r>
          </w:p>
        </w:tc>
        <w:tc>
          <w:tcPr>
            <w:tcW w:w="2127" w:type="dxa"/>
            <w:tcBorders>
              <w:top w:val="nil"/>
              <w:left w:val="nil"/>
              <w:bottom w:val="single" w:color="auto" w:sz="4" w:space="0"/>
              <w:right w:val="single" w:color="auto" w:sz="4" w:space="0"/>
            </w:tcBorders>
            <w:noWrap/>
            <w:vAlign w:val="center"/>
          </w:tcPr>
          <w:p w14:paraId="225A25DC">
            <w:pPr>
              <w:widowControl/>
              <w:jc w:val="left"/>
              <w:rPr>
                <w:rFonts w:ascii="宋体" w:hAnsi="宋体" w:cs="宋体"/>
                <w:color w:val="000000"/>
                <w:kern w:val="0"/>
                <w:szCs w:val="21"/>
              </w:rPr>
            </w:pPr>
            <w:r>
              <w:rPr>
                <w:rFonts w:hint="eastAsia" w:ascii="宋体" w:hAnsi="宋体" w:cs="宋体"/>
                <w:color w:val="000000"/>
                <w:kern w:val="0"/>
                <w:szCs w:val="21"/>
              </w:rPr>
              <w:t>公共管理、社会保障和社会组织</w:t>
            </w:r>
          </w:p>
        </w:tc>
        <w:tc>
          <w:tcPr>
            <w:tcW w:w="708" w:type="dxa"/>
            <w:tcBorders>
              <w:top w:val="nil"/>
              <w:left w:val="nil"/>
              <w:bottom w:val="single" w:color="auto" w:sz="4" w:space="0"/>
              <w:right w:val="single" w:color="auto" w:sz="4" w:space="0"/>
            </w:tcBorders>
            <w:noWrap/>
            <w:vAlign w:val="center"/>
          </w:tcPr>
          <w:p w14:paraId="7A31D823">
            <w:pPr>
              <w:widowControl/>
              <w:jc w:val="center"/>
              <w:rPr>
                <w:rFonts w:ascii="Times New Roman" w:hAnsi="Times New Roman"/>
                <w:color w:val="000000"/>
                <w:kern w:val="0"/>
                <w:szCs w:val="21"/>
              </w:rPr>
            </w:pPr>
            <w:r>
              <w:rPr>
                <w:rFonts w:hint="eastAsia" w:ascii="Times New Roman" w:hAnsi="Times New Roman"/>
                <w:color w:val="000000"/>
                <w:kern w:val="0"/>
                <w:szCs w:val="21"/>
              </w:rPr>
              <w:t>3</w:t>
            </w:r>
          </w:p>
        </w:tc>
        <w:tc>
          <w:tcPr>
            <w:tcW w:w="696" w:type="dxa"/>
            <w:tcBorders>
              <w:top w:val="nil"/>
              <w:left w:val="nil"/>
              <w:bottom w:val="single" w:color="auto" w:sz="4" w:space="0"/>
              <w:right w:val="single" w:color="auto" w:sz="4" w:space="0"/>
            </w:tcBorders>
            <w:noWrap/>
            <w:vAlign w:val="center"/>
          </w:tcPr>
          <w:p w14:paraId="31C4D8A9">
            <w:pPr>
              <w:widowControl/>
              <w:jc w:val="center"/>
              <w:rPr>
                <w:rFonts w:ascii="Times New Roman" w:hAnsi="Times New Roman"/>
                <w:color w:val="000000"/>
                <w:kern w:val="0"/>
                <w:szCs w:val="21"/>
              </w:rPr>
            </w:pPr>
            <w:r>
              <w:rPr>
                <w:rFonts w:hint="eastAsia" w:ascii="Times New Roman" w:hAnsi="Times New Roman"/>
                <w:color w:val="000000"/>
                <w:kern w:val="0"/>
                <w:szCs w:val="21"/>
              </w:rPr>
              <w:t>6</w:t>
            </w:r>
          </w:p>
        </w:tc>
        <w:tc>
          <w:tcPr>
            <w:tcW w:w="721" w:type="dxa"/>
            <w:tcBorders>
              <w:top w:val="nil"/>
              <w:left w:val="nil"/>
              <w:bottom w:val="single" w:color="auto" w:sz="4" w:space="0"/>
              <w:right w:val="single" w:color="auto" w:sz="4" w:space="0"/>
            </w:tcBorders>
            <w:noWrap/>
            <w:vAlign w:val="center"/>
          </w:tcPr>
          <w:p w14:paraId="6D90D703">
            <w:pPr>
              <w:widowControl/>
              <w:jc w:val="center"/>
              <w:rPr>
                <w:rFonts w:ascii="Times New Roman" w:hAnsi="Times New Roman"/>
                <w:color w:val="000000"/>
                <w:kern w:val="0"/>
                <w:szCs w:val="21"/>
              </w:rPr>
            </w:pPr>
            <w:r>
              <w:rPr>
                <w:rFonts w:ascii="Times New Roman" w:hAnsi="Times New Roman"/>
                <w:color w:val="000000"/>
                <w:kern w:val="0"/>
                <w:szCs w:val="21"/>
              </w:rPr>
              <w:t>　</w:t>
            </w:r>
          </w:p>
        </w:tc>
        <w:tc>
          <w:tcPr>
            <w:tcW w:w="851" w:type="dxa"/>
            <w:tcBorders>
              <w:top w:val="nil"/>
              <w:left w:val="nil"/>
              <w:bottom w:val="single" w:color="auto" w:sz="4" w:space="0"/>
              <w:right w:val="single" w:color="auto" w:sz="4" w:space="0"/>
            </w:tcBorders>
            <w:noWrap/>
            <w:vAlign w:val="center"/>
          </w:tcPr>
          <w:p w14:paraId="32E3444D">
            <w:pPr>
              <w:widowControl/>
              <w:jc w:val="center"/>
              <w:rPr>
                <w:rFonts w:ascii="Times New Roman" w:hAnsi="Times New Roman"/>
                <w:color w:val="000000"/>
                <w:kern w:val="0"/>
                <w:szCs w:val="21"/>
              </w:rPr>
            </w:pPr>
          </w:p>
        </w:tc>
        <w:tc>
          <w:tcPr>
            <w:tcW w:w="847" w:type="dxa"/>
            <w:tcBorders>
              <w:top w:val="nil"/>
              <w:left w:val="nil"/>
              <w:bottom w:val="single" w:color="auto" w:sz="4" w:space="0"/>
              <w:right w:val="single" w:color="auto" w:sz="4" w:space="0"/>
            </w:tcBorders>
            <w:noWrap/>
            <w:vAlign w:val="center"/>
          </w:tcPr>
          <w:p w14:paraId="5433C271">
            <w:pPr>
              <w:widowControl/>
              <w:jc w:val="center"/>
              <w:rPr>
                <w:rFonts w:ascii="Times New Roman" w:hAnsi="Times New Roman"/>
                <w:color w:val="000000"/>
                <w:kern w:val="0"/>
                <w:szCs w:val="21"/>
              </w:rPr>
            </w:pPr>
            <w:r>
              <w:rPr>
                <w:rFonts w:hint="eastAsia" w:ascii="Times New Roman" w:hAnsi="Times New Roman"/>
                <w:color w:val="000000"/>
                <w:kern w:val="0"/>
                <w:szCs w:val="21"/>
              </w:rPr>
              <w:t>3</w:t>
            </w:r>
          </w:p>
        </w:tc>
        <w:tc>
          <w:tcPr>
            <w:tcW w:w="691" w:type="dxa"/>
            <w:tcBorders>
              <w:top w:val="nil"/>
              <w:left w:val="nil"/>
              <w:bottom w:val="single" w:color="auto" w:sz="4" w:space="0"/>
              <w:right w:val="single" w:color="auto" w:sz="4" w:space="0"/>
            </w:tcBorders>
            <w:noWrap/>
            <w:vAlign w:val="center"/>
          </w:tcPr>
          <w:p w14:paraId="7C051A12">
            <w:pPr>
              <w:widowControl/>
              <w:jc w:val="center"/>
              <w:rPr>
                <w:rFonts w:ascii="Times New Roman" w:hAnsi="Times New Roman"/>
                <w:color w:val="000000"/>
                <w:kern w:val="0"/>
                <w:szCs w:val="21"/>
              </w:rPr>
            </w:pPr>
            <w:r>
              <w:rPr>
                <w:rFonts w:ascii="Times New Roman" w:hAnsi="Times New Roman"/>
                <w:color w:val="000000"/>
                <w:kern w:val="0"/>
                <w:szCs w:val="21"/>
              </w:rPr>
              <w:t>3</w:t>
            </w:r>
          </w:p>
        </w:tc>
        <w:tc>
          <w:tcPr>
            <w:tcW w:w="696" w:type="dxa"/>
            <w:tcBorders>
              <w:top w:val="nil"/>
              <w:left w:val="nil"/>
              <w:bottom w:val="single" w:color="auto" w:sz="4" w:space="0"/>
              <w:right w:val="single" w:color="auto" w:sz="4" w:space="0"/>
            </w:tcBorders>
            <w:noWrap/>
            <w:vAlign w:val="center"/>
          </w:tcPr>
          <w:p w14:paraId="7FCE1D6E">
            <w:pPr>
              <w:widowControl/>
              <w:jc w:val="center"/>
              <w:rPr>
                <w:rFonts w:ascii="Times New Roman" w:hAnsi="Times New Roman"/>
                <w:color w:val="000000"/>
                <w:kern w:val="0"/>
                <w:szCs w:val="21"/>
              </w:rPr>
            </w:pPr>
            <w:r>
              <w:rPr>
                <w:rFonts w:ascii="Times New Roman" w:hAnsi="Times New Roman"/>
                <w:color w:val="000000"/>
                <w:kern w:val="0"/>
                <w:szCs w:val="21"/>
              </w:rPr>
              <w:t>6</w:t>
            </w:r>
          </w:p>
        </w:tc>
      </w:tr>
      <w:tr w14:paraId="664100BF">
        <w:tblPrEx>
          <w:tblCellMar>
            <w:top w:w="0" w:type="dxa"/>
            <w:left w:w="108" w:type="dxa"/>
            <w:bottom w:w="0" w:type="dxa"/>
            <w:right w:w="108" w:type="dxa"/>
          </w:tblCellMar>
        </w:tblPrEx>
        <w:trPr>
          <w:trHeight w:val="315" w:hRule="atLeast"/>
        </w:trPr>
        <w:tc>
          <w:tcPr>
            <w:tcW w:w="567" w:type="dxa"/>
            <w:tcBorders>
              <w:top w:val="nil"/>
              <w:left w:val="single" w:color="auto" w:sz="4" w:space="0"/>
              <w:bottom w:val="single" w:color="auto" w:sz="4" w:space="0"/>
              <w:right w:val="single" w:color="auto" w:sz="4" w:space="0"/>
            </w:tcBorders>
            <w:noWrap/>
            <w:vAlign w:val="center"/>
          </w:tcPr>
          <w:p w14:paraId="453955EB">
            <w:pPr>
              <w:widowControl/>
              <w:jc w:val="center"/>
              <w:rPr>
                <w:rFonts w:ascii="Times New Roman" w:hAnsi="Times New Roman"/>
                <w:color w:val="000000"/>
                <w:kern w:val="0"/>
                <w:szCs w:val="21"/>
              </w:rPr>
            </w:pPr>
            <w:r>
              <w:rPr>
                <w:rFonts w:ascii="Times New Roman" w:hAnsi="Times New Roman"/>
                <w:color w:val="000000"/>
                <w:kern w:val="0"/>
                <w:szCs w:val="21"/>
              </w:rPr>
              <w:t>15</w:t>
            </w:r>
          </w:p>
        </w:tc>
        <w:tc>
          <w:tcPr>
            <w:tcW w:w="567" w:type="dxa"/>
            <w:tcBorders>
              <w:top w:val="nil"/>
              <w:left w:val="nil"/>
              <w:bottom w:val="single" w:color="auto" w:sz="4" w:space="0"/>
              <w:right w:val="single" w:color="auto" w:sz="4" w:space="0"/>
            </w:tcBorders>
            <w:noWrap/>
            <w:vAlign w:val="center"/>
          </w:tcPr>
          <w:p w14:paraId="357FD6CA">
            <w:pPr>
              <w:widowControl/>
              <w:jc w:val="center"/>
              <w:rPr>
                <w:rFonts w:ascii="Times New Roman" w:hAnsi="Times New Roman"/>
                <w:color w:val="000000"/>
                <w:kern w:val="0"/>
                <w:szCs w:val="21"/>
              </w:rPr>
            </w:pPr>
            <w:r>
              <w:rPr>
                <w:rFonts w:ascii="Times New Roman" w:hAnsi="Times New Roman"/>
                <w:color w:val="000000"/>
                <w:kern w:val="0"/>
                <w:szCs w:val="21"/>
              </w:rPr>
              <w:t>U</w:t>
            </w:r>
          </w:p>
        </w:tc>
        <w:tc>
          <w:tcPr>
            <w:tcW w:w="2127" w:type="dxa"/>
            <w:tcBorders>
              <w:top w:val="nil"/>
              <w:left w:val="nil"/>
              <w:bottom w:val="single" w:color="auto" w:sz="4" w:space="0"/>
              <w:right w:val="single" w:color="auto" w:sz="4" w:space="0"/>
            </w:tcBorders>
            <w:noWrap/>
            <w:vAlign w:val="center"/>
          </w:tcPr>
          <w:p w14:paraId="254CDC63">
            <w:pPr>
              <w:widowControl/>
              <w:jc w:val="left"/>
              <w:rPr>
                <w:rFonts w:ascii="宋体" w:hAnsi="宋体" w:cs="宋体"/>
                <w:color w:val="000000"/>
                <w:kern w:val="0"/>
                <w:szCs w:val="21"/>
              </w:rPr>
            </w:pPr>
            <w:r>
              <w:rPr>
                <w:rFonts w:hint="eastAsia" w:ascii="宋体" w:hAnsi="宋体" w:cs="宋体"/>
                <w:color w:val="000000"/>
                <w:kern w:val="0"/>
                <w:szCs w:val="21"/>
              </w:rPr>
              <w:t>生活用水定额</w:t>
            </w:r>
          </w:p>
        </w:tc>
        <w:tc>
          <w:tcPr>
            <w:tcW w:w="708" w:type="dxa"/>
            <w:tcBorders>
              <w:top w:val="nil"/>
              <w:left w:val="nil"/>
              <w:bottom w:val="single" w:color="auto" w:sz="4" w:space="0"/>
              <w:right w:val="single" w:color="auto" w:sz="4" w:space="0"/>
            </w:tcBorders>
            <w:noWrap/>
            <w:vAlign w:val="center"/>
          </w:tcPr>
          <w:p w14:paraId="5A80BD40">
            <w:pPr>
              <w:widowControl/>
              <w:jc w:val="center"/>
              <w:rPr>
                <w:rFonts w:ascii="Times New Roman" w:hAnsi="Times New Roman"/>
                <w:color w:val="000000"/>
                <w:kern w:val="0"/>
                <w:szCs w:val="21"/>
              </w:rPr>
            </w:pPr>
            <w:r>
              <w:rPr>
                <w:rFonts w:hint="eastAsia" w:ascii="Times New Roman" w:hAnsi="Times New Roman"/>
                <w:color w:val="000000"/>
                <w:kern w:val="0"/>
                <w:szCs w:val="21"/>
              </w:rPr>
              <w:t>8</w:t>
            </w:r>
          </w:p>
        </w:tc>
        <w:tc>
          <w:tcPr>
            <w:tcW w:w="696" w:type="dxa"/>
            <w:tcBorders>
              <w:top w:val="nil"/>
              <w:left w:val="nil"/>
              <w:bottom w:val="single" w:color="auto" w:sz="4" w:space="0"/>
              <w:right w:val="single" w:color="auto" w:sz="4" w:space="0"/>
            </w:tcBorders>
            <w:noWrap/>
            <w:vAlign w:val="center"/>
          </w:tcPr>
          <w:p w14:paraId="5BFA2D56">
            <w:pPr>
              <w:widowControl/>
              <w:jc w:val="center"/>
              <w:rPr>
                <w:rFonts w:ascii="Times New Roman" w:hAnsi="Times New Roman"/>
                <w:color w:val="000000"/>
                <w:kern w:val="0"/>
                <w:szCs w:val="21"/>
              </w:rPr>
            </w:pPr>
            <w:r>
              <w:rPr>
                <w:rFonts w:hint="eastAsia" w:ascii="Times New Roman" w:hAnsi="Times New Roman"/>
                <w:color w:val="000000"/>
                <w:kern w:val="0"/>
                <w:szCs w:val="21"/>
              </w:rPr>
              <w:t>8</w:t>
            </w:r>
          </w:p>
        </w:tc>
        <w:tc>
          <w:tcPr>
            <w:tcW w:w="721" w:type="dxa"/>
            <w:tcBorders>
              <w:top w:val="nil"/>
              <w:left w:val="nil"/>
              <w:bottom w:val="single" w:color="auto" w:sz="4" w:space="0"/>
              <w:right w:val="single" w:color="auto" w:sz="4" w:space="0"/>
            </w:tcBorders>
            <w:noWrap/>
            <w:vAlign w:val="center"/>
          </w:tcPr>
          <w:p w14:paraId="56A10DD4">
            <w:pPr>
              <w:widowControl/>
              <w:jc w:val="center"/>
              <w:rPr>
                <w:rFonts w:ascii="Times New Roman" w:hAnsi="Times New Roman"/>
                <w:color w:val="000000"/>
                <w:kern w:val="0"/>
                <w:szCs w:val="21"/>
              </w:rPr>
            </w:pPr>
            <w:r>
              <w:rPr>
                <w:rFonts w:hint="eastAsia" w:ascii="Times New Roman" w:hAnsi="Times New Roman"/>
                <w:color w:val="000000"/>
                <w:kern w:val="0"/>
                <w:szCs w:val="21"/>
              </w:rPr>
              <w:t>0</w:t>
            </w:r>
          </w:p>
        </w:tc>
        <w:tc>
          <w:tcPr>
            <w:tcW w:w="851" w:type="dxa"/>
            <w:tcBorders>
              <w:top w:val="nil"/>
              <w:left w:val="nil"/>
              <w:bottom w:val="single" w:color="auto" w:sz="4" w:space="0"/>
              <w:right w:val="single" w:color="auto" w:sz="4" w:space="0"/>
            </w:tcBorders>
            <w:noWrap/>
            <w:vAlign w:val="center"/>
          </w:tcPr>
          <w:p w14:paraId="638ED004">
            <w:pPr>
              <w:widowControl/>
              <w:jc w:val="center"/>
              <w:rPr>
                <w:rFonts w:ascii="Times New Roman" w:hAnsi="Times New Roman"/>
                <w:color w:val="000000"/>
                <w:kern w:val="0"/>
                <w:szCs w:val="21"/>
              </w:rPr>
            </w:pPr>
            <w:r>
              <w:rPr>
                <w:rFonts w:ascii="Times New Roman" w:hAnsi="Times New Roman"/>
                <w:color w:val="000000"/>
                <w:kern w:val="0"/>
                <w:szCs w:val="21"/>
              </w:rPr>
              <w:t>　</w:t>
            </w:r>
          </w:p>
        </w:tc>
        <w:tc>
          <w:tcPr>
            <w:tcW w:w="847" w:type="dxa"/>
            <w:tcBorders>
              <w:top w:val="nil"/>
              <w:left w:val="nil"/>
              <w:bottom w:val="single" w:color="auto" w:sz="4" w:space="0"/>
              <w:right w:val="single" w:color="auto" w:sz="4" w:space="0"/>
            </w:tcBorders>
            <w:noWrap/>
            <w:vAlign w:val="center"/>
          </w:tcPr>
          <w:p w14:paraId="06EC6948">
            <w:pPr>
              <w:widowControl/>
              <w:jc w:val="center"/>
              <w:rPr>
                <w:rFonts w:ascii="Times New Roman" w:hAnsi="Times New Roman"/>
                <w:color w:val="000000"/>
                <w:kern w:val="0"/>
                <w:szCs w:val="21"/>
              </w:rPr>
            </w:pPr>
            <w:r>
              <w:rPr>
                <w:rFonts w:hint="eastAsia" w:ascii="Times New Roman" w:hAnsi="Times New Roman"/>
                <w:color w:val="000000"/>
                <w:kern w:val="0"/>
                <w:szCs w:val="21"/>
              </w:rPr>
              <w:t>8</w:t>
            </w:r>
          </w:p>
        </w:tc>
        <w:tc>
          <w:tcPr>
            <w:tcW w:w="691" w:type="dxa"/>
            <w:tcBorders>
              <w:top w:val="nil"/>
              <w:left w:val="nil"/>
              <w:bottom w:val="single" w:color="auto" w:sz="4" w:space="0"/>
              <w:right w:val="single" w:color="auto" w:sz="4" w:space="0"/>
            </w:tcBorders>
            <w:noWrap/>
            <w:vAlign w:val="center"/>
          </w:tcPr>
          <w:p w14:paraId="53FF6C2C">
            <w:pPr>
              <w:widowControl/>
              <w:jc w:val="center"/>
              <w:rPr>
                <w:rFonts w:ascii="Times New Roman" w:hAnsi="Times New Roman"/>
                <w:color w:val="000000"/>
                <w:kern w:val="0"/>
                <w:szCs w:val="21"/>
              </w:rPr>
            </w:pPr>
            <w:r>
              <w:rPr>
                <w:rFonts w:hint="eastAsia" w:ascii="Times New Roman" w:hAnsi="Times New Roman"/>
                <w:color w:val="000000"/>
                <w:kern w:val="0"/>
                <w:szCs w:val="21"/>
              </w:rPr>
              <w:t>8</w:t>
            </w:r>
          </w:p>
        </w:tc>
        <w:tc>
          <w:tcPr>
            <w:tcW w:w="696" w:type="dxa"/>
            <w:tcBorders>
              <w:top w:val="nil"/>
              <w:left w:val="nil"/>
              <w:bottom w:val="single" w:color="auto" w:sz="4" w:space="0"/>
              <w:right w:val="single" w:color="auto" w:sz="4" w:space="0"/>
            </w:tcBorders>
            <w:noWrap/>
            <w:vAlign w:val="center"/>
          </w:tcPr>
          <w:p w14:paraId="3EF6D53A">
            <w:pPr>
              <w:widowControl/>
              <w:jc w:val="center"/>
              <w:rPr>
                <w:rFonts w:ascii="Times New Roman" w:hAnsi="Times New Roman"/>
                <w:color w:val="000000"/>
                <w:kern w:val="0"/>
                <w:szCs w:val="21"/>
              </w:rPr>
            </w:pPr>
            <w:r>
              <w:rPr>
                <w:rFonts w:hint="eastAsia" w:ascii="Times New Roman" w:hAnsi="Times New Roman"/>
                <w:color w:val="000000"/>
                <w:kern w:val="0"/>
                <w:szCs w:val="21"/>
              </w:rPr>
              <w:t>8</w:t>
            </w:r>
          </w:p>
        </w:tc>
      </w:tr>
      <w:tr w14:paraId="65A0B08F">
        <w:tblPrEx>
          <w:tblCellMar>
            <w:top w:w="0" w:type="dxa"/>
            <w:left w:w="108" w:type="dxa"/>
            <w:bottom w:w="0" w:type="dxa"/>
            <w:right w:w="108" w:type="dxa"/>
          </w:tblCellMar>
        </w:tblPrEx>
        <w:trPr>
          <w:trHeight w:val="315" w:hRule="atLeast"/>
        </w:trPr>
        <w:tc>
          <w:tcPr>
            <w:tcW w:w="3261" w:type="dxa"/>
            <w:gridSpan w:val="3"/>
            <w:tcBorders>
              <w:top w:val="single" w:color="auto" w:sz="4" w:space="0"/>
              <w:left w:val="single" w:color="auto" w:sz="4" w:space="0"/>
              <w:bottom w:val="single" w:color="auto" w:sz="4" w:space="0"/>
              <w:right w:val="single" w:color="auto" w:sz="4" w:space="0"/>
            </w:tcBorders>
            <w:noWrap/>
            <w:vAlign w:val="center"/>
          </w:tcPr>
          <w:p w14:paraId="56652B55">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708" w:type="dxa"/>
            <w:tcBorders>
              <w:top w:val="nil"/>
              <w:left w:val="nil"/>
              <w:bottom w:val="single" w:color="auto" w:sz="4" w:space="0"/>
              <w:right w:val="single" w:color="auto" w:sz="4" w:space="0"/>
            </w:tcBorders>
            <w:noWrap/>
            <w:vAlign w:val="center"/>
          </w:tcPr>
          <w:p w14:paraId="51CE2F22">
            <w:pPr>
              <w:widowControl/>
              <w:jc w:val="center"/>
              <w:rPr>
                <w:rFonts w:ascii="Times New Roman" w:hAnsi="Times New Roman"/>
                <w:color w:val="000000"/>
                <w:kern w:val="0"/>
                <w:szCs w:val="21"/>
              </w:rPr>
            </w:pPr>
            <w:r>
              <w:rPr>
                <w:rFonts w:ascii="Times New Roman" w:hAnsi="Times New Roman"/>
                <w:color w:val="000000"/>
                <w:szCs w:val="21"/>
              </w:rPr>
              <w:t>840</w:t>
            </w:r>
          </w:p>
        </w:tc>
        <w:tc>
          <w:tcPr>
            <w:tcW w:w="696" w:type="dxa"/>
            <w:tcBorders>
              <w:top w:val="nil"/>
              <w:left w:val="nil"/>
              <w:bottom w:val="single" w:color="auto" w:sz="4" w:space="0"/>
              <w:right w:val="single" w:color="auto" w:sz="4" w:space="0"/>
            </w:tcBorders>
            <w:noWrap/>
            <w:vAlign w:val="center"/>
          </w:tcPr>
          <w:p w14:paraId="558374DD">
            <w:pPr>
              <w:jc w:val="center"/>
              <w:rPr>
                <w:rFonts w:ascii="Times New Roman" w:hAnsi="Times New Roman"/>
                <w:color w:val="000000"/>
                <w:szCs w:val="21"/>
              </w:rPr>
            </w:pPr>
            <w:r>
              <w:rPr>
                <w:rFonts w:ascii="Times New Roman" w:hAnsi="Times New Roman"/>
                <w:color w:val="000000"/>
                <w:szCs w:val="21"/>
              </w:rPr>
              <w:t>5919</w:t>
            </w:r>
          </w:p>
        </w:tc>
        <w:tc>
          <w:tcPr>
            <w:tcW w:w="721" w:type="dxa"/>
            <w:tcBorders>
              <w:top w:val="nil"/>
              <w:left w:val="nil"/>
              <w:bottom w:val="single" w:color="auto" w:sz="4" w:space="0"/>
              <w:right w:val="single" w:color="auto" w:sz="4" w:space="0"/>
            </w:tcBorders>
            <w:noWrap/>
            <w:vAlign w:val="center"/>
          </w:tcPr>
          <w:p w14:paraId="49AC0696">
            <w:pPr>
              <w:jc w:val="center"/>
              <w:rPr>
                <w:rFonts w:ascii="Times New Roman" w:hAnsi="Times New Roman"/>
                <w:color w:val="000000"/>
                <w:szCs w:val="21"/>
              </w:rPr>
            </w:pPr>
            <w:r>
              <w:rPr>
                <w:rFonts w:ascii="Times New Roman" w:hAnsi="Times New Roman"/>
                <w:color w:val="000000"/>
                <w:szCs w:val="21"/>
              </w:rPr>
              <w:t>13</w:t>
            </w:r>
          </w:p>
        </w:tc>
        <w:tc>
          <w:tcPr>
            <w:tcW w:w="851" w:type="dxa"/>
            <w:tcBorders>
              <w:top w:val="nil"/>
              <w:left w:val="nil"/>
              <w:bottom w:val="single" w:color="auto" w:sz="4" w:space="0"/>
              <w:right w:val="single" w:color="auto" w:sz="4" w:space="0"/>
            </w:tcBorders>
            <w:noWrap/>
            <w:vAlign w:val="center"/>
          </w:tcPr>
          <w:p w14:paraId="660A64C6">
            <w:pPr>
              <w:jc w:val="center"/>
              <w:rPr>
                <w:rFonts w:ascii="Times New Roman" w:hAnsi="Times New Roman"/>
                <w:color w:val="000000"/>
                <w:szCs w:val="21"/>
              </w:rPr>
            </w:pPr>
            <w:r>
              <w:rPr>
                <w:rFonts w:ascii="Times New Roman" w:hAnsi="Times New Roman"/>
                <w:color w:val="000000"/>
                <w:szCs w:val="21"/>
              </w:rPr>
              <w:t>64</w:t>
            </w:r>
          </w:p>
        </w:tc>
        <w:tc>
          <w:tcPr>
            <w:tcW w:w="847" w:type="dxa"/>
            <w:tcBorders>
              <w:top w:val="nil"/>
              <w:left w:val="nil"/>
              <w:bottom w:val="single" w:color="auto" w:sz="4" w:space="0"/>
              <w:right w:val="single" w:color="auto" w:sz="4" w:space="0"/>
            </w:tcBorders>
            <w:noWrap/>
            <w:vAlign w:val="center"/>
          </w:tcPr>
          <w:p w14:paraId="51A09F33">
            <w:pPr>
              <w:jc w:val="center"/>
              <w:rPr>
                <w:rFonts w:ascii="Times New Roman" w:hAnsi="Times New Roman"/>
                <w:color w:val="000000"/>
                <w:szCs w:val="21"/>
              </w:rPr>
            </w:pPr>
            <w:r>
              <w:rPr>
                <w:rFonts w:ascii="Times New Roman" w:hAnsi="Times New Roman"/>
                <w:color w:val="000000"/>
                <w:szCs w:val="21"/>
              </w:rPr>
              <w:t>222</w:t>
            </w:r>
          </w:p>
        </w:tc>
        <w:tc>
          <w:tcPr>
            <w:tcW w:w="691" w:type="dxa"/>
            <w:tcBorders>
              <w:top w:val="nil"/>
              <w:left w:val="nil"/>
              <w:bottom w:val="single" w:color="auto" w:sz="4" w:space="0"/>
              <w:right w:val="single" w:color="auto" w:sz="4" w:space="0"/>
            </w:tcBorders>
            <w:noWrap/>
            <w:vAlign w:val="center"/>
          </w:tcPr>
          <w:p w14:paraId="121E3871">
            <w:pPr>
              <w:jc w:val="center"/>
              <w:rPr>
                <w:rFonts w:ascii="Times New Roman" w:hAnsi="Times New Roman"/>
                <w:color w:val="000000"/>
                <w:szCs w:val="21"/>
              </w:rPr>
            </w:pPr>
            <w:r>
              <w:rPr>
                <w:rFonts w:ascii="Times New Roman" w:hAnsi="Times New Roman"/>
                <w:color w:val="000000"/>
                <w:szCs w:val="21"/>
              </w:rPr>
              <w:t>892</w:t>
            </w:r>
          </w:p>
        </w:tc>
        <w:tc>
          <w:tcPr>
            <w:tcW w:w="696" w:type="dxa"/>
            <w:tcBorders>
              <w:top w:val="nil"/>
              <w:left w:val="nil"/>
              <w:bottom w:val="single" w:color="auto" w:sz="4" w:space="0"/>
              <w:right w:val="single" w:color="auto" w:sz="4" w:space="0"/>
            </w:tcBorders>
            <w:noWrap/>
            <w:vAlign w:val="center"/>
          </w:tcPr>
          <w:p w14:paraId="58A4F2AE">
            <w:pPr>
              <w:jc w:val="center"/>
              <w:rPr>
                <w:rFonts w:ascii="Times New Roman" w:hAnsi="Times New Roman"/>
                <w:color w:val="000000"/>
                <w:szCs w:val="21"/>
              </w:rPr>
            </w:pPr>
            <w:r>
              <w:rPr>
                <w:rFonts w:ascii="Times New Roman" w:hAnsi="Times New Roman"/>
                <w:color w:val="000000"/>
                <w:szCs w:val="21"/>
              </w:rPr>
              <w:t>5224</w:t>
            </w:r>
          </w:p>
        </w:tc>
      </w:tr>
    </w:tbl>
    <w:p w14:paraId="30E02B91">
      <w:pPr>
        <w:pStyle w:val="2"/>
        <w:keepNext/>
        <w:keepLines/>
        <w:pageBreakBefore w:val="0"/>
        <w:widowControl w:val="0"/>
        <w:numPr>
          <w:ilvl w:val="0"/>
          <w:numId w:val="11"/>
        </w:numPr>
        <w:kinsoku/>
        <w:wordWrap/>
        <w:overflowPunct/>
        <w:topLinePunct w:val="0"/>
        <w:autoSpaceDE/>
        <w:autoSpaceDN/>
        <w:bidi w:val="0"/>
        <w:adjustRightInd/>
        <w:snapToGrid/>
        <w:spacing w:before="0" w:after="0" w:line="240" w:lineRule="auto"/>
        <w:ind w:left="420" w:leftChars="0" w:hanging="420" w:firstLineChars="0"/>
        <w:textAlignment w:val="auto"/>
        <w:rPr>
          <w:rFonts w:hint="eastAsia" w:ascii="楷体_GB2312" w:hAnsi="楷体_GB2312" w:eastAsia="楷体_GB2312" w:cs="楷体_GB2312"/>
        </w:rPr>
      </w:pPr>
      <w:r>
        <w:rPr>
          <w:rFonts w:hint="eastAsia" w:ascii="楷体_GB2312" w:hAnsi="楷体_GB2312" w:eastAsia="楷体_GB2312" w:cs="楷体_GB2312"/>
        </w:rPr>
        <w:t xml:space="preserve"> 附录</w:t>
      </w:r>
    </w:p>
    <w:p w14:paraId="5001CC71">
      <w:pPr>
        <w:spacing w:line="360" w:lineRule="auto"/>
        <w:ind w:firstLine="420"/>
      </w:pPr>
      <w:r>
        <w:rPr>
          <w:sz w:val="24"/>
          <w:szCs w:val="24"/>
        </w:rPr>
        <w:t>本次资料性附录的修订，</w:t>
      </w:r>
      <w:r>
        <w:rPr>
          <w:rFonts w:hint="eastAsia"/>
          <w:sz w:val="24"/>
          <w:szCs w:val="24"/>
        </w:rPr>
        <w:t>删除</w:t>
      </w:r>
      <w:r>
        <w:rPr>
          <w:sz w:val="24"/>
          <w:szCs w:val="24"/>
        </w:rPr>
        <w:t>了</w:t>
      </w:r>
      <w:r>
        <w:rPr>
          <w:rFonts w:hint="eastAsia"/>
          <w:sz w:val="24"/>
          <w:szCs w:val="24"/>
        </w:rPr>
        <w:t>1个</w:t>
      </w:r>
      <w:r>
        <w:rPr>
          <w:sz w:val="24"/>
          <w:szCs w:val="24"/>
        </w:rPr>
        <w:t>，修订了1</w:t>
      </w:r>
      <w:r>
        <w:rPr>
          <w:rFonts w:hint="eastAsia"/>
          <w:sz w:val="24"/>
          <w:szCs w:val="24"/>
        </w:rPr>
        <w:t>个，</w:t>
      </w:r>
      <w:r>
        <w:rPr>
          <w:sz w:val="24"/>
          <w:szCs w:val="24"/>
        </w:rPr>
        <w:t>增加了4</w:t>
      </w:r>
      <w:r>
        <w:rPr>
          <w:rFonts w:hint="eastAsia"/>
          <w:sz w:val="24"/>
          <w:szCs w:val="24"/>
        </w:rPr>
        <w:t>个</w:t>
      </w:r>
      <w:r>
        <w:rPr>
          <w:sz w:val="24"/>
          <w:szCs w:val="24"/>
        </w:rPr>
        <w:t>附录。</w:t>
      </w:r>
    </w:p>
    <w:sectPr>
      <w:footerReference r:id="rId3" w:type="default"/>
      <w:pgSz w:w="11906" w:h="16838"/>
      <w:pgMar w:top="1361" w:right="1797" w:bottom="1361" w:left="1797" w:header="851" w:footer="90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CF9B8">
    <w:pPr>
      <w:pStyle w:val="17"/>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14</w:t>
    </w:r>
    <w:r>
      <w:rPr>
        <w:rFonts w:ascii="Times New Roman" w:hAnsi="Times New Roma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8676C"/>
    <w:multiLevelType w:val="multilevel"/>
    <w:tmpl w:val="13E8676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4D82249"/>
    <w:multiLevelType w:val="multilevel"/>
    <w:tmpl w:val="24D82249"/>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273A1CE3"/>
    <w:multiLevelType w:val="multilevel"/>
    <w:tmpl w:val="273A1CE3"/>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E135050"/>
    <w:multiLevelType w:val="multilevel"/>
    <w:tmpl w:val="2E135050"/>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48E53C04"/>
    <w:multiLevelType w:val="multilevel"/>
    <w:tmpl w:val="48E53C04"/>
    <w:lvl w:ilvl="0" w:tentative="0">
      <w:start w:val="1"/>
      <w:numFmt w:val="decimal"/>
      <w:lvlText w:val="（%1）"/>
      <w:lvlJc w:val="left"/>
      <w:pPr>
        <w:ind w:left="8091" w:hanging="720"/>
      </w:pPr>
      <w:rPr>
        <w:rFonts w:hint="default"/>
      </w:rPr>
    </w:lvl>
    <w:lvl w:ilvl="1" w:tentative="0">
      <w:start w:val="1"/>
      <w:numFmt w:val="lowerLetter"/>
      <w:lvlText w:val="%2)"/>
      <w:lvlJc w:val="left"/>
      <w:pPr>
        <w:ind w:left="8211" w:hanging="420"/>
      </w:pPr>
    </w:lvl>
    <w:lvl w:ilvl="2" w:tentative="0">
      <w:start w:val="1"/>
      <w:numFmt w:val="lowerRoman"/>
      <w:lvlText w:val="%3."/>
      <w:lvlJc w:val="right"/>
      <w:pPr>
        <w:ind w:left="8631" w:hanging="420"/>
      </w:pPr>
    </w:lvl>
    <w:lvl w:ilvl="3" w:tentative="0">
      <w:start w:val="1"/>
      <w:numFmt w:val="decimal"/>
      <w:lvlText w:val="%4."/>
      <w:lvlJc w:val="left"/>
      <w:pPr>
        <w:ind w:left="9051" w:hanging="420"/>
      </w:pPr>
    </w:lvl>
    <w:lvl w:ilvl="4" w:tentative="0">
      <w:start w:val="1"/>
      <w:numFmt w:val="lowerLetter"/>
      <w:lvlText w:val="%5)"/>
      <w:lvlJc w:val="left"/>
      <w:pPr>
        <w:ind w:left="9471" w:hanging="420"/>
      </w:pPr>
    </w:lvl>
    <w:lvl w:ilvl="5" w:tentative="0">
      <w:start w:val="1"/>
      <w:numFmt w:val="lowerRoman"/>
      <w:lvlText w:val="%6."/>
      <w:lvlJc w:val="right"/>
      <w:pPr>
        <w:ind w:left="9891" w:hanging="420"/>
      </w:pPr>
    </w:lvl>
    <w:lvl w:ilvl="6" w:tentative="0">
      <w:start w:val="1"/>
      <w:numFmt w:val="decimal"/>
      <w:lvlText w:val="%7."/>
      <w:lvlJc w:val="left"/>
      <w:pPr>
        <w:ind w:left="10311" w:hanging="420"/>
      </w:pPr>
    </w:lvl>
    <w:lvl w:ilvl="7" w:tentative="0">
      <w:start w:val="1"/>
      <w:numFmt w:val="lowerLetter"/>
      <w:lvlText w:val="%8)"/>
      <w:lvlJc w:val="left"/>
      <w:pPr>
        <w:ind w:left="10731" w:hanging="420"/>
      </w:pPr>
    </w:lvl>
    <w:lvl w:ilvl="8" w:tentative="0">
      <w:start w:val="1"/>
      <w:numFmt w:val="lowerRoman"/>
      <w:lvlText w:val="%9."/>
      <w:lvlJc w:val="right"/>
      <w:pPr>
        <w:ind w:left="11151" w:hanging="420"/>
      </w:pPr>
    </w:lvl>
  </w:abstractNum>
  <w:abstractNum w:abstractNumId="5">
    <w:nsid w:val="51F156E4"/>
    <w:multiLevelType w:val="multilevel"/>
    <w:tmpl w:val="51F156E4"/>
    <w:lvl w:ilvl="0" w:tentative="0">
      <w:start w:val="1"/>
      <w:numFmt w:val="decimal"/>
      <w:lvlText w:val="（%1）"/>
      <w:lvlJc w:val="left"/>
      <w:pPr>
        <w:ind w:left="8091" w:hanging="720"/>
      </w:pPr>
      <w:rPr>
        <w:rFonts w:hint="default"/>
      </w:rPr>
    </w:lvl>
    <w:lvl w:ilvl="1" w:tentative="0">
      <w:start w:val="1"/>
      <w:numFmt w:val="lowerLetter"/>
      <w:lvlText w:val="%2)"/>
      <w:lvlJc w:val="left"/>
      <w:pPr>
        <w:ind w:left="8211" w:hanging="420"/>
      </w:pPr>
    </w:lvl>
    <w:lvl w:ilvl="2" w:tentative="0">
      <w:start w:val="1"/>
      <w:numFmt w:val="lowerRoman"/>
      <w:lvlText w:val="%3."/>
      <w:lvlJc w:val="right"/>
      <w:pPr>
        <w:ind w:left="8631" w:hanging="420"/>
      </w:pPr>
    </w:lvl>
    <w:lvl w:ilvl="3" w:tentative="0">
      <w:start w:val="1"/>
      <w:numFmt w:val="decimal"/>
      <w:lvlText w:val="%4."/>
      <w:lvlJc w:val="left"/>
      <w:pPr>
        <w:ind w:left="9051" w:hanging="420"/>
      </w:pPr>
    </w:lvl>
    <w:lvl w:ilvl="4" w:tentative="0">
      <w:start w:val="1"/>
      <w:numFmt w:val="lowerLetter"/>
      <w:lvlText w:val="%5)"/>
      <w:lvlJc w:val="left"/>
      <w:pPr>
        <w:ind w:left="9471" w:hanging="420"/>
      </w:pPr>
    </w:lvl>
    <w:lvl w:ilvl="5" w:tentative="0">
      <w:start w:val="1"/>
      <w:numFmt w:val="lowerRoman"/>
      <w:lvlText w:val="%6."/>
      <w:lvlJc w:val="right"/>
      <w:pPr>
        <w:ind w:left="9891" w:hanging="420"/>
      </w:pPr>
    </w:lvl>
    <w:lvl w:ilvl="6" w:tentative="0">
      <w:start w:val="1"/>
      <w:numFmt w:val="decimal"/>
      <w:lvlText w:val="%7."/>
      <w:lvlJc w:val="left"/>
      <w:pPr>
        <w:ind w:left="10311" w:hanging="420"/>
      </w:pPr>
    </w:lvl>
    <w:lvl w:ilvl="7" w:tentative="0">
      <w:start w:val="1"/>
      <w:numFmt w:val="lowerLetter"/>
      <w:lvlText w:val="%8)"/>
      <w:lvlJc w:val="left"/>
      <w:pPr>
        <w:ind w:left="10731" w:hanging="420"/>
      </w:pPr>
    </w:lvl>
    <w:lvl w:ilvl="8" w:tentative="0">
      <w:start w:val="1"/>
      <w:numFmt w:val="lowerRoman"/>
      <w:lvlText w:val="%9."/>
      <w:lvlJc w:val="right"/>
      <w:pPr>
        <w:ind w:left="11151" w:hanging="420"/>
      </w:pPr>
    </w:lvl>
  </w:abstractNum>
  <w:abstractNum w:abstractNumId="6">
    <w:nsid w:val="59B53B8E"/>
    <w:multiLevelType w:val="multilevel"/>
    <w:tmpl w:val="59B53B8E"/>
    <w:lvl w:ilvl="0" w:tentative="0">
      <w:start w:val="1"/>
      <w:numFmt w:val="decimal"/>
      <w:lvlText w:val="（%1）"/>
      <w:lvlJc w:val="left"/>
      <w:pPr>
        <w:ind w:left="861"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73C47725"/>
    <w:multiLevelType w:val="multilevel"/>
    <w:tmpl w:val="73C47725"/>
    <w:lvl w:ilvl="0" w:tentative="0">
      <w:start w:val="1"/>
      <w:numFmt w:val="decimal"/>
      <w:pStyle w:val="2"/>
      <w:lvlText w:val="%1"/>
      <w:lvlJc w:val="left"/>
      <w:pPr>
        <w:ind w:left="420" w:hanging="420"/>
      </w:pPr>
      <w:rPr>
        <w:rFonts w:hint="default" w:ascii="Times New Roman" w:hAnsi="Times New Roman"/>
      </w:rPr>
    </w:lvl>
    <w:lvl w:ilvl="1" w:tentative="0">
      <w:start w:val="1"/>
      <w:numFmt w:val="decimal"/>
      <w:isLgl/>
      <w:lvlText w:val="%1.%2"/>
      <w:lvlJc w:val="left"/>
      <w:pPr>
        <w:ind w:left="720" w:hanging="720"/>
      </w:pPr>
      <w:rPr>
        <w:rFonts w:hint="default" w:ascii="Times New Roman" w:hAnsi="Times New Roman" w:cs="Times New Roman"/>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160" w:hanging="2160"/>
      </w:pPr>
      <w:rPr>
        <w:rFonts w:hint="default"/>
      </w:rPr>
    </w:lvl>
  </w:abstractNum>
  <w:abstractNum w:abstractNumId="8">
    <w:nsid w:val="76D87D7A"/>
    <w:multiLevelType w:val="multilevel"/>
    <w:tmpl w:val="76D87D7A"/>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2"/>
  </w:num>
  <w:num w:numId="6">
    <w:abstractNumId w:val="3"/>
  </w:num>
  <w:num w:numId="7">
    <w:abstractNumId w:val="1"/>
  </w:num>
  <w:num w:numId="8">
    <w:abstractNumId w:val="8"/>
  </w:num>
  <w:num w:numId="9">
    <w:abstractNumId w:val="4"/>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422"/>
    <w:rsid w:val="00003908"/>
    <w:rsid w:val="000113E1"/>
    <w:rsid w:val="0001272A"/>
    <w:rsid w:val="00012F03"/>
    <w:rsid w:val="00013280"/>
    <w:rsid w:val="00013C74"/>
    <w:rsid w:val="0001513F"/>
    <w:rsid w:val="000159FF"/>
    <w:rsid w:val="00020128"/>
    <w:rsid w:val="00021FB9"/>
    <w:rsid w:val="000227F5"/>
    <w:rsid w:val="00022B95"/>
    <w:rsid w:val="00030BF1"/>
    <w:rsid w:val="00033234"/>
    <w:rsid w:val="00033EE0"/>
    <w:rsid w:val="000357B2"/>
    <w:rsid w:val="00035AE3"/>
    <w:rsid w:val="00040CCA"/>
    <w:rsid w:val="00044FB7"/>
    <w:rsid w:val="00047FB5"/>
    <w:rsid w:val="00050187"/>
    <w:rsid w:val="00051445"/>
    <w:rsid w:val="00051AF3"/>
    <w:rsid w:val="0005466F"/>
    <w:rsid w:val="00055C0D"/>
    <w:rsid w:val="00056ABF"/>
    <w:rsid w:val="000603C5"/>
    <w:rsid w:val="00064243"/>
    <w:rsid w:val="00066468"/>
    <w:rsid w:val="00067BE5"/>
    <w:rsid w:val="00072AA4"/>
    <w:rsid w:val="000766A6"/>
    <w:rsid w:val="00077531"/>
    <w:rsid w:val="00081B11"/>
    <w:rsid w:val="000939CB"/>
    <w:rsid w:val="00096779"/>
    <w:rsid w:val="000A0498"/>
    <w:rsid w:val="000A210A"/>
    <w:rsid w:val="000A54C1"/>
    <w:rsid w:val="000A55BC"/>
    <w:rsid w:val="000A5717"/>
    <w:rsid w:val="000B02BB"/>
    <w:rsid w:val="000B11C0"/>
    <w:rsid w:val="000B3611"/>
    <w:rsid w:val="000B61CF"/>
    <w:rsid w:val="000B738B"/>
    <w:rsid w:val="000C0D8E"/>
    <w:rsid w:val="000C0D9E"/>
    <w:rsid w:val="000C291A"/>
    <w:rsid w:val="000C468F"/>
    <w:rsid w:val="000D0DEF"/>
    <w:rsid w:val="000D23E6"/>
    <w:rsid w:val="000D29B7"/>
    <w:rsid w:val="000D2F22"/>
    <w:rsid w:val="000E36C2"/>
    <w:rsid w:val="000F0560"/>
    <w:rsid w:val="000F07DF"/>
    <w:rsid w:val="000F08AB"/>
    <w:rsid w:val="00101227"/>
    <w:rsid w:val="001024F4"/>
    <w:rsid w:val="00103852"/>
    <w:rsid w:val="00105BDD"/>
    <w:rsid w:val="00112AB3"/>
    <w:rsid w:val="00115CE3"/>
    <w:rsid w:val="0011688C"/>
    <w:rsid w:val="00121595"/>
    <w:rsid w:val="00123FBF"/>
    <w:rsid w:val="00124C2B"/>
    <w:rsid w:val="00124FA7"/>
    <w:rsid w:val="00130DBA"/>
    <w:rsid w:val="00132EAB"/>
    <w:rsid w:val="001417D8"/>
    <w:rsid w:val="00143365"/>
    <w:rsid w:val="001446DC"/>
    <w:rsid w:val="0015010F"/>
    <w:rsid w:val="00150186"/>
    <w:rsid w:val="00153351"/>
    <w:rsid w:val="00162005"/>
    <w:rsid w:val="00162AB0"/>
    <w:rsid w:val="00163957"/>
    <w:rsid w:val="00164974"/>
    <w:rsid w:val="001708D6"/>
    <w:rsid w:val="00171189"/>
    <w:rsid w:val="001723EA"/>
    <w:rsid w:val="0017254F"/>
    <w:rsid w:val="001768C4"/>
    <w:rsid w:val="00177FB9"/>
    <w:rsid w:val="00180662"/>
    <w:rsid w:val="001806D3"/>
    <w:rsid w:val="00183F4A"/>
    <w:rsid w:val="0018557D"/>
    <w:rsid w:val="00186D94"/>
    <w:rsid w:val="001926F9"/>
    <w:rsid w:val="00194890"/>
    <w:rsid w:val="001964E6"/>
    <w:rsid w:val="001967AB"/>
    <w:rsid w:val="00196CAA"/>
    <w:rsid w:val="00196ED8"/>
    <w:rsid w:val="001970D9"/>
    <w:rsid w:val="001A369B"/>
    <w:rsid w:val="001A4A9F"/>
    <w:rsid w:val="001A59F7"/>
    <w:rsid w:val="001A613D"/>
    <w:rsid w:val="001A62A4"/>
    <w:rsid w:val="001B5422"/>
    <w:rsid w:val="001C55CF"/>
    <w:rsid w:val="001C5B25"/>
    <w:rsid w:val="001C745F"/>
    <w:rsid w:val="001D0F42"/>
    <w:rsid w:val="001D0FE9"/>
    <w:rsid w:val="001D1B8A"/>
    <w:rsid w:val="001D24BA"/>
    <w:rsid w:val="001D2683"/>
    <w:rsid w:val="001D2A03"/>
    <w:rsid w:val="001D7CEF"/>
    <w:rsid w:val="001D7DDE"/>
    <w:rsid w:val="001E06BD"/>
    <w:rsid w:val="001E11F1"/>
    <w:rsid w:val="001E21A2"/>
    <w:rsid w:val="001F2957"/>
    <w:rsid w:val="001F2C53"/>
    <w:rsid w:val="001F2FDF"/>
    <w:rsid w:val="001F3B0A"/>
    <w:rsid w:val="001F7394"/>
    <w:rsid w:val="00200242"/>
    <w:rsid w:val="002036E7"/>
    <w:rsid w:val="0020671F"/>
    <w:rsid w:val="00211E87"/>
    <w:rsid w:val="00216FA9"/>
    <w:rsid w:val="0022174E"/>
    <w:rsid w:val="002236AD"/>
    <w:rsid w:val="002240F9"/>
    <w:rsid w:val="00224CEC"/>
    <w:rsid w:val="00224D11"/>
    <w:rsid w:val="002373A4"/>
    <w:rsid w:val="00241558"/>
    <w:rsid w:val="0024613D"/>
    <w:rsid w:val="0025144B"/>
    <w:rsid w:val="00251507"/>
    <w:rsid w:val="0025680C"/>
    <w:rsid w:val="00260B58"/>
    <w:rsid w:val="00261E3E"/>
    <w:rsid w:val="00271690"/>
    <w:rsid w:val="0027194E"/>
    <w:rsid w:val="00273CF5"/>
    <w:rsid w:val="00275559"/>
    <w:rsid w:val="002800F2"/>
    <w:rsid w:val="002824F4"/>
    <w:rsid w:val="0028627F"/>
    <w:rsid w:val="00286DA7"/>
    <w:rsid w:val="00287E40"/>
    <w:rsid w:val="00291636"/>
    <w:rsid w:val="002924E9"/>
    <w:rsid w:val="00297E9F"/>
    <w:rsid w:val="002A1CCB"/>
    <w:rsid w:val="002A3D5B"/>
    <w:rsid w:val="002A6011"/>
    <w:rsid w:val="002A69D0"/>
    <w:rsid w:val="002B1546"/>
    <w:rsid w:val="002B3857"/>
    <w:rsid w:val="002C16F8"/>
    <w:rsid w:val="002C327B"/>
    <w:rsid w:val="002D5999"/>
    <w:rsid w:val="002E285A"/>
    <w:rsid w:val="002E6AA6"/>
    <w:rsid w:val="002F0872"/>
    <w:rsid w:val="002F1BBB"/>
    <w:rsid w:val="002F3F2B"/>
    <w:rsid w:val="00304D87"/>
    <w:rsid w:val="00305CA3"/>
    <w:rsid w:val="00306F02"/>
    <w:rsid w:val="003071B2"/>
    <w:rsid w:val="00310032"/>
    <w:rsid w:val="00310A25"/>
    <w:rsid w:val="00310AC7"/>
    <w:rsid w:val="00314131"/>
    <w:rsid w:val="00314AE2"/>
    <w:rsid w:val="00314EAD"/>
    <w:rsid w:val="00315B94"/>
    <w:rsid w:val="00316647"/>
    <w:rsid w:val="0031695A"/>
    <w:rsid w:val="003170FC"/>
    <w:rsid w:val="00320C9A"/>
    <w:rsid w:val="00322865"/>
    <w:rsid w:val="00322B3A"/>
    <w:rsid w:val="00323530"/>
    <w:rsid w:val="00323DD0"/>
    <w:rsid w:val="00332270"/>
    <w:rsid w:val="0033752C"/>
    <w:rsid w:val="003418C3"/>
    <w:rsid w:val="00343396"/>
    <w:rsid w:val="0034695D"/>
    <w:rsid w:val="00350C52"/>
    <w:rsid w:val="0035492D"/>
    <w:rsid w:val="003709ED"/>
    <w:rsid w:val="003722E1"/>
    <w:rsid w:val="0037525C"/>
    <w:rsid w:val="00375DED"/>
    <w:rsid w:val="0038246C"/>
    <w:rsid w:val="00382B94"/>
    <w:rsid w:val="00384691"/>
    <w:rsid w:val="00385816"/>
    <w:rsid w:val="00387123"/>
    <w:rsid w:val="003873AA"/>
    <w:rsid w:val="00390369"/>
    <w:rsid w:val="00391B1C"/>
    <w:rsid w:val="003941C1"/>
    <w:rsid w:val="00397902"/>
    <w:rsid w:val="003A0CA6"/>
    <w:rsid w:val="003A0FD4"/>
    <w:rsid w:val="003A1A59"/>
    <w:rsid w:val="003A3981"/>
    <w:rsid w:val="003A515A"/>
    <w:rsid w:val="003B042F"/>
    <w:rsid w:val="003B29BD"/>
    <w:rsid w:val="003B4DBB"/>
    <w:rsid w:val="003B5518"/>
    <w:rsid w:val="003B6A4B"/>
    <w:rsid w:val="003C048F"/>
    <w:rsid w:val="003C6309"/>
    <w:rsid w:val="003C702E"/>
    <w:rsid w:val="003D5A18"/>
    <w:rsid w:val="003D7E62"/>
    <w:rsid w:val="003E09DC"/>
    <w:rsid w:val="003E2016"/>
    <w:rsid w:val="003E315F"/>
    <w:rsid w:val="003E3284"/>
    <w:rsid w:val="003E3908"/>
    <w:rsid w:val="003F25E8"/>
    <w:rsid w:val="003F603C"/>
    <w:rsid w:val="00403C88"/>
    <w:rsid w:val="00404FC1"/>
    <w:rsid w:val="004106EB"/>
    <w:rsid w:val="00411F50"/>
    <w:rsid w:val="004173A4"/>
    <w:rsid w:val="0043054E"/>
    <w:rsid w:val="0043083F"/>
    <w:rsid w:val="0043262B"/>
    <w:rsid w:val="004356C3"/>
    <w:rsid w:val="004362BB"/>
    <w:rsid w:val="00450280"/>
    <w:rsid w:val="0045293A"/>
    <w:rsid w:val="00454BD8"/>
    <w:rsid w:val="00457979"/>
    <w:rsid w:val="00460307"/>
    <w:rsid w:val="0046036D"/>
    <w:rsid w:val="0046173F"/>
    <w:rsid w:val="00462E86"/>
    <w:rsid w:val="00463753"/>
    <w:rsid w:val="00464C63"/>
    <w:rsid w:val="00464FF9"/>
    <w:rsid w:val="0046737A"/>
    <w:rsid w:val="00471101"/>
    <w:rsid w:val="004806CA"/>
    <w:rsid w:val="0048388F"/>
    <w:rsid w:val="00484336"/>
    <w:rsid w:val="00486A0C"/>
    <w:rsid w:val="00486EBA"/>
    <w:rsid w:val="00494D72"/>
    <w:rsid w:val="004A1920"/>
    <w:rsid w:val="004A1D4E"/>
    <w:rsid w:val="004A602A"/>
    <w:rsid w:val="004A6496"/>
    <w:rsid w:val="004B483A"/>
    <w:rsid w:val="004B4C42"/>
    <w:rsid w:val="004B6706"/>
    <w:rsid w:val="004C0B24"/>
    <w:rsid w:val="004C0CD5"/>
    <w:rsid w:val="004C2DCA"/>
    <w:rsid w:val="004D151C"/>
    <w:rsid w:val="004D3E47"/>
    <w:rsid w:val="004D65BA"/>
    <w:rsid w:val="004D6A20"/>
    <w:rsid w:val="004E20B7"/>
    <w:rsid w:val="004E2F80"/>
    <w:rsid w:val="004E33CC"/>
    <w:rsid w:val="004E3BD5"/>
    <w:rsid w:val="004E509A"/>
    <w:rsid w:val="004E7E29"/>
    <w:rsid w:val="004F0BC6"/>
    <w:rsid w:val="004F3239"/>
    <w:rsid w:val="004F4641"/>
    <w:rsid w:val="004F66B0"/>
    <w:rsid w:val="004F7B27"/>
    <w:rsid w:val="005049B4"/>
    <w:rsid w:val="0050613F"/>
    <w:rsid w:val="00506403"/>
    <w:rsid w:val="005075BC"/>
    <w:rsid w:val="00510F10"/>
    <w:rsid w:val="005137BD"/>
    <w:rsid w:val="00520ED4"/>
    <w:rsid w:val="005244D7"/>
    <w:rsid w:val="00524860"/>
    <w:rsid w:val="00526B63"/>
    <w:rsid w:val="00530A9C"/>
    <w:rsid w:val="00534D7F"/>
    <w:rsid w:val="00535530"/>
    <w:rsid w:val="00541BC9"/>
    <w:rsid w:val="00543526"/>
    <w:rsid w:val="0054522C"/>
    <w:rsid w:val="005459A2"/>
    <w:rsid w:val="00546328"/>
    <w:rsid w:val="0054649D"/>
    <w:rsid w:val="00550677"/>
    <w:rsid w:val="0055239B"/>
    <w:rsid w:val="005601E8"/>
    <w:rsid w:val="005630E5"/>
    <w:rsid w:val="005655AF"/>
    <w:rsid w:val="00567283"/>
    <w:rsid w:val="00575B01"/>
    <w:rsid w:val="005765FD"/>
    <w:rsid w:val="005801E7"/>
    <w:rsid w:val="0059045C"/>
    <w:rsid w:val="00591AFD"/>
    <w:rsid w:val="00593CBE"/>
    <w:rsid w:val="00593DD0"/>
    <w:rsid w:val="00595B2D"/>
    <w:rsid w:val="005A2E2F"/>
    <w:rsid w:val="005B09B7"/>
    <w:rsid w:val="005B288A"/>
    <w:rsid w:val="005B3651"/>
    <w:rsid w:val="005B655B"/>
    <w:rsid w:val="005C1E0B"/>
    <w:rsid w:val="005C254B"/>
    <w:rsid w:val="005C5383"/>
    <w:rsid w:val="005C5F08"/>
    <w:rsid w:val="005D0D7E"/>
    <w:rsid w:val="005E03B9"/>
    <w:rsid w:val="005E3B58"/>
    <w:rsid w:val="005E505C"/>
    <w:rsid w:val="005E50B9"/>
    <w:rsid w:val="005E51FE"/>
    <w:rsid w:val="005E68CA"/>
    <w:rsid w:val="005F0F06"/>
    <w:rsid w:val="005F2B6C"/>
    <w:rsid w:val="005F34A8"/>
    <w:rsid w:val="005F3FE9"/>
    <w:rsid w:val="00602A1B"/>
    <w:rsid w:val="00605A1D"/>
    <w:rsid w:val="006077D5"/>
    <w:rsid w:val="00611511"/>
    <w:rsid w:val="00611792"/>
    <w:rsid w:val="0061197E"/>
    <w:rsid w:val="00613350"/>
    <w:rsid w:val="00622A27"/>
    <w:rsid w:val="00625072"/>
    <w:rsid w:val="006267DD"/>
    <w:rsid w:val="00626953"/>
    <w:rsid w:val="0062772A"/>
    <w:rsid w:val="006300B5"/>
    <w:rsid w:val="0063061A"/>
    <w:rsid w:val="00633302"/>
    <w:rsid w:val="006365E9"/>
    <w:rsid w:val="00637065"/>
    <w:rsid w:val="006404C5"/>
    <w:rsid w:val="00642648"/>
    <w:rsid w:val="006436C9"/>
    <w:rsid w:val="00644D23"/>
    <w:rsid w:val="006450E5"/>
    <w:rsid w:val="00651456"/>
    <w:rsid w:val="0065446B"/>
    <w:rsid w:val="006607BE"/>
    <w:rsid w:val="00660BA0"/>
    <w:rsid w:val="00670AE2"/>
    <w:rsid w:val="00671E8E"/>
    <w:rsid w:val="006758C8"/>
    <w:rsid w:val="006772E2"/>
    <w:rsid w:val="006802DA"/>
    <w:rsid w:val="00681AC5"/>
    <w:rsid w:val="00681E5E"/>
    <w:rsid w:val="00682A8C"/>
    <w:rsid w:val="006921EA"/>
    <w:rsid w:val="00692BBA"/>
    <w:rsid w:val="00692C93"/>
    <w:rsid w:val="0069370E"/>
    <w:rsid w:val="00693DA8"/>
    <w:rsid w:val="0069436F"/>
    <w:rsid w:val="00694EDD"/>
    <w:rsid w:val="00697D71"/>
    <w:rsid w:val="006A3CDB"/>
    <w:rsid w:val="006A5D3C"/>
    <w:rsid w:val="006B2D92"/>
    <w:rsid w:val="006B2E2F"/>
    <w:rsid w:val="006B37A6"/>
    <w:rsid w:val="006B6FF5"/>
    <w:rsid w:val="006C2A98"/>
    <w:rsid w:val="006C3FAA"/>
    <w:rsid w:val="006C4BB1"/>
    <w:rsid w:val="006C5063"/>
    <w:rsid w:val="006C7094"/>
    <w:rsid w:val="006D056B"/>
    <w:rsid w:val="006D05E5"/>
    <w:rsid w:val="006D2AB9"/>
    <w:rsid w:val="006D640A"/>
    <w:rsid w:val="006E381E"/>
    <w:rsid w:val="006E3CD8"/>
    <w:rsid w:val="006E7480"/>
    <w:rsid w:val="006E7D03"/>
    <w:rsid w:val="006F078E"/>
    <w:rsid w:val="006F117B"/>
    <w:rsid w:val="006F4CB2"/>
    <w:rsid w:val="006F5CAD"/>
    <w:rsid w:val="006F6391"/>
    <w:rsid w:val="00700E75"/>
    <w:rsid w:val="00701B54"/>
    <w:rsid w:val="0071199C"/>
    <w:rsid w:val="00713E55"/>
    <w:rsid w:val="00713ED9"/>
    <w:rsid w:val="00714042"/>
    <w:rsid w:val="00716A0A"/>
    <w:rsid w:val="00722552"/>
    <w:rsid w:val="00724943"/>
    <w:rsid w:val="00730193"/>
    <w:rsid w:val="00733431"/>
    <w:rsid w:val="00741760"/>
    <w:rsid w:val="00744AC9"/>
    <w:rsid w:val="0074681F"/>
    <w:rsid w:val="0075114E"/>
    <w:rsid w:val="00753AF5"/>
    <w:rsid w:val="00753DE5"/>
    <w:rsid w:val="0076346E"/>
    <w:rsid w:val="00763B26"/>
    <w:rsid w:val="007666D9"/>
    <w:rsid w:val="00770DC0"/>
    <w:rsid w:val="00771F9D"/>
    <w:rsid w:val="00777463"/>
    <w:rsid w:val="00780163"/>
    <w:rsid w:val="0078172F"/>
    <w:rsid w:val="00781970"/>
    <w:rsid w:val="00784718"/>
    <w:rsid w:val="00787613"/>
    <w:rsid w:val="00790A60"/>
    <w:rsid w:val="0079275D"/>
    <w:rsid w:val="007943B2"/>
    <w:rsid w:val="007958F7"/>
    <w:rsid w:val="007A2E6E"/>
    <w:rsid w:val="007A3B06"/>
    <w:rsid w:val="007A6FE8"/>
    <w:rsid w:val="007B4CDC"/>
    <w:rsid w:val="007B6FAC"/>
    <w:rsid w:val="007B727C"/>
    <w:rsid w:val="007C1C46"/>
    <w:rsid w:val="007C4634"/>
    <w:rsid w:val="007D1621"/>
    <w:rsid w:val="007D3501"/>
    <w:rsid w:val="007D3D41"/>
    <w:rsid w:val="007D5A80"/>
    <w:rsid w:val="007D651B"/>
    <w:rsid w:val="007D6FAD"/>
    <w:rsid w:val="007E32B9"/>
    <w:rsid w:val="007E3B06"/>
    <w:rsid w:val="007E4E20"/>
    <w:rsid w:val="007E5466"/>
    <w:rsid w:val="007E7399"/>
    <w:rsid w:val="007F2D4C"/>
    <w:rsid w:val="007F4D7A"/>
    <w:rsid w:val="00802935"/>
    <w:rsid w:val="00802B06"/>
    <w:rsid w:val="00802E4F"/>
    <w:rsid w:val="00803594"/>
    <w:rsid w:val="008045AF"/>
    <w:rsid w:val="008062E2"/>
    <w:rsid w:val="00814CEE"/>
    <w:rsid w:val="008150D5"/>
    <w:rsid w:val="0082208C"/>
    <w:rsid w:val="008241D6"/>
    <w:rsid w:val="00826C82"/>
    <w:rsid w:val="00827EE2"/>
    <w:rsid w:val="00827F34"/>
    <w:rsid w:val="008349DF"/>
    <w:rsid w:val="00836769"/>
    <w:rsid w:val="00840684"/>
    <w:rsid w:val="00840DD1"/>
    <w:rsid w:val="00841F9B"/>
    <w:rsid w:val="0084680A"/>
    <w:rsid w:val="00850CB8"/>
    <w:rsid w:val="008530D9"/>
    <w:rsid w:val="008561DC"/>
    <w:rsid w:val="00857646"/>
    <w:rsid w:val="00857ECE"/>
    <w:rsid w:val="008639C2"/>
    <w:rsid w:val="008740ED"/>
    <w:rsid w:val="0087428B"/>
    <w:rsid w:val="00877847"/>
    <w:rsid w:val="008807AA"/>
    <w:rsid w:val="00891B1A"/>
    <w:rsid w:val="0089222E"/>
    <w:rsid w:val="00892485"/>
    <w:rsid w:val="00892DC1"/>
    <w:rsid w:val="008956CA"/>
    <w:rsid w:val="00896CAF"/>
    <w:rsid w:val="00897F3A"/>
    <w:rsid w:val="008A4DF6"/>
    <w:rsid w:val="008A722D"/>
    <w:rsid w:val="008B598B"/>
    <w:rsid w:val="008C22D7"/>
    <w:rsid w:val="008C4B4E"/>
    <w:rsid w:val="008C719B"/>
    <w:rsid w:val="008D0B21"/>
    <w:rsid w:val="008D2E4B"/>
    <w:rsid w:val="008D3302"/>
    <w:rsid w:val="008D33C4"/>
    <w:rsid w:val="008D62D7"/>
    <w:rsid w:val="008E0E33"/>
    <w:rsid w:val="008E2003"/>
    <w:rsid w:val="008E448E"/>
    <w:rsid w:val="008E5481"/>
    <w:rsid w:val="008E6B72"/>
    <w:rsid w:val="008F2FB0"/>
    <w:rsid w:val="008F33AA"/>
    <w:rsid w:val="00903858"/>
    <w:rsid w:val="00905659"/>
    <w:rsid w:val="009061C3"/>
    <w:rsid w:val="00916F0A"/>
    <w:rsid w:val="00920E65"/>
    <w:rsid w:val="00926D09"/>
    <w:rsid w:val="009312C5"/>
    <w:rsid w:val="00936D11"/>
    <w:rsid w:val="00936D3A"/>
    <w:rsid w:val="00937C21"/>
    <w:rsid w:val="00940F96"/>
    <w:rsid w:val="0094208C"/>
    <w:rsid w:val="009436BE"/>
    <w:rsid w:val="00945156"/>
    <w:rsid w:val="00950CB2"/>
    <w:rsid w:val="00951F9C"/>
    <w:rsid w:val="00953F13"/>
    <w:rsid w:val="00955815"/>
    <w:rsid w:val="00955F7C"/>
    <w:rsid w:val="0096377B"/>
    <w:rsid w:val="00966C96"/>
    <w:rsid w:val="0096774A"/>
    <w:rsid w:val="00967FC7"/>
    <w:rsid w:val="0097057B"/>
    <w:rsid w:val="00974CE2"/>
    <w:rsid w:val="00976BF3"/>
    <w:rsid w:val="00976F98"/>
    <w:rsid w:val="00977450"/>
    <w:rsid w:val="009779E2"/>
    <w:rsid w:val="00992D45"/>
    <w:rsid w:val="00992DC3"/>
    <w:rsid w:val="0099306E"/>
    <w:rsid w:val="009946B9"/>
    <w:rsid w:val="009958B0"/>
    <w:rsid w:val="009958E7"/>
    <w:rsid w:val="0099625E"/>
    <w:rsid w:val="009974D2"/>
    <w:rsid w:val="009974E5"/>
    <w:rsid w:val="009A0108"/>
    <w:rsid w:val="009A086D"/>
    <w:rsid w:val="009A0AC7"/>
    <w:rsid w:val="009A21A0"/>
    <w:rsid w:val="009A4508"/>
    <w:rsid w:val="009A627A"/>
    <w:rsid w:val="009A7D32"/>
    <w:rsid w:val="009B0482"/>
    <w:rsid w:val="009B0592"/>
    <w:rsid w:val="009B07AD"/>
    <w:rsid w:val="009B2AE1"/>
    <w:rsid w:val="009B4156"/>
    <w:rsid w:val="009B69AE"/>
    <w:rsid w:val="009C02DA"/>
    <w:rsid w:val="009C11D1"/>
    <w:rsid w:val="009C13C8"/>
    <w:rsid w:val="009C2534"/>
    <w:rsid w:val="009C49E8"/>
    <w:rsid w:val="009C5C62"/>
    <w:rsid w:val="009C6AE7"/>
    <w:rsid w:val="009D0E80"/>
    <w:rsid w:val="009D16B8"/>
    <w:rsid w:val="009D18F6"/>
    <w:rsid w:val="009D22FA"/>
    <w:rsid w:val="009E0C13"/>
    <w:rsid w:val="009E16C8"/>
    <w:rsid w:val="009E5719"/>
    <w:rsid w:val="009F317D"/>
    <w:rsid w:val="009F377F"/>
    <w:rsid w:val="009F44D9"/>
    <w:rsid w:val="00A01ED6"/>
    <w:rsid w:val="00A06EA3"/>
    <w:rsid w:val="00A13881"/>
    <w:rsid w:val="00A13ED6"/>
    <w:rsid w:val="00A167AD"/>
    <w:rsid w:val="00A2070D"/>
    <w:rsid w:val="00A20765"/>
    <w:rsid w:val="00A20B05"/>
    <w:rsid w:val="00A20E09"/>
    <w:rsid w:val="00A22CB9"/>
    <w:rsid w:val="00A237A9"/>
    <w:rsid w:val="00A25FB5"/>
    <w:rsid w:val="00A27258"/>
    <w:rsid w:val="00A27ACB"/>
    <w:rsid w:val="00A32E98"/>
    <w:rsid w:val="00A34811"/>
    <w:rsid w:val="00A40F44"/>
    <w:rsid w:val="00A41B8B"/>
    <w:rsid w:val="00A44A9D"/>
    <w:rsid w:val="00A468B0"/>
    <w:rsid w:val="00A514F0"/>
    <w:rsid w:val="00A55520"/>
    <w:rsid w:val="00A562F8"/>
    <w:rsid w:val="00A569AA"/>
    <w:rsid w:val="00A610F8"/>
    <w:rsid w:val="00A619F8"/>
    <w:rsid w:val="00A7648B"/>
    <w:rsid w:val="00A81AC8"/>
    <w:rsid w:val="00A82F45"/>
    <w:rsid w:val="00A9327D"/>
    <w:rsid w:val="00AA273F"/>
    <w:rsid w:val="00AA31E6"/>
    <w:rsid w:val="00AA500A"/>
    <w:rsid w:val="00AA6BCC"/>
    <w:rsid w:val="00AB2B73"/>
    <w:rsid w:val="00AB38C1"/>
    <w:rsid w:val="00AB4B2A"/>
    <w:rsid w:val="00AB68DE"/>
    <w:rsid w:val="00AC0DA3"/>
    <w:rsid w:val="00AC65AF"/>
    <w:rsid w:val="00AD1F66"/>
    <w:rsid w:val="00AD3792"/>
    <w:rsid w:val="00AD46AD"/>
    <w:rsid w:val="00AD64AA"/>
    <w:rsid w:val="00AE07B9"/>
    <w:rsid w:val="00AE0E50"/>
    <w:rsid w:val="00AE64AA"/>
    <w:rsid w:val="00AF59D9"/>
    <w:rsid w:val="00AF5D16"/>
    <w:rsid w:val="00AF6702"/>
    <w:rsid w:val="00B01A0F"/>
    <w:rsid w:val="00B02994"/>
    <w:rsid w:val="00B04221"/>
    <w:rsid w:val="00B143C4"/>
    <w:rsid w:val="00B15A0B"/>
    <w:rsid w:val="00B207DB"/>
    <w:rsid w:val="00B33751"/>
    <w:rsid w:val="00B37E14"/>
    <w:rsid w:val="00B42471"/>
    <w:rsid w:val="00B46CC4"/>
    <w:rsid w:val="00B50B49"/>
    <w:rsid w:val="00B53672"/>
    <w:rsid w:val="00B564B5"/>
    <w:rsid w:val="00B56B0D"/>
    <w:rsid w:val="00B62471"/>
    <w:rsid w:val="00B677F3"/>
    <w:rsid w:val="00B679BD"/>
    <w:rsid w:val="00B74A3F"/>
    <w:rsid w:val="00B75BEA"/>
    <w:rsid w:val="00B82B71"/>
    <w:rsid w:val="00B84700"/>
    <w:rsid w:val="00B847E7"/>
    <w:rsid w:val="00B87821"/>
    <w:rsid w:val="00B9157C"/>
    <w:rsid w:val="00B9339E"/>
    <w:rsid w:val="00B9354F"/>
    <w:rsid w:val="00B93697"/>
    <w:rsid w:val="00B961E6"/>
    <w:rsid w:val="00BA0C4F"/>
    <w:rsid w:val="00BA1AFF"/>
    <w:rsid w:val="00BA24FB"/>
    <w:rsid w:val="00BA713E"/>
    <w:rsid w:val="00BB2552"/>
    <w:rsid w:val="00BB4B67"/>
    <w:rsid w:val="00BC5102"/>
    <w:rsid w:val="00BD2768"/>
    <w:rsid w:val="00BD6141"/>
    <w:rsid w:val="00BD61A1"/>
    <w:rsid w:val="00BD71EB"/>
    <w:rsid w:val="00BD7393"/>
    <w:rsid w:val="00BE03CF"/>
    <w:rsid w:val="00BE16DD"/>
    <w:rsid w:val="00BE1990"/>
    <w:rsid w:val="00BE1DED"/>
    <w:rsid w:val="00BE6747"/>
    <w:rsid w:val="00BF1466"/>
    <w:rsid w:val="00BF6C59"/>
    <w:rsid w:val="00BF6CBE"/>
    <w:rsid w:val="00C01852"/>
    <w:rsid w:val="00C0484A"/>
    <w:rsid w:val="00C06300"/>
    <w:rsid w:val="00C068CF"/>
    <w:rsid w:val="00C070EC"/>
    <w:rsid w:val="00C07E25"/>
    <w:rsid w:val="00C10D68"/>
    <w:rsid w:val="00C11329"/>
    <w:rsid w:val="00C1348D"/>
    <w:rsid w:val="00C1362B"/>
    <w:rsid w:val="00C222ED"/>
    <w:rsid w:val="00C2465A"/>
    <w:rsid w:val="00C32D3E"/>
    <w:rsid w:val="00C32DF2"/>
    <w:rsid w:val="00C347D2"/>
    <w:rsid w:val="00C36B17"/>
    <w:rsid w:val="00C37067"/>
    <w:rsid w:val="00C40070"/>
    <w:rsid w:val="00C40269"/>
    <w:rsid w:val="00C40524"/>
    <w:rsid w:val="00C44555"/>
    <w:rsid w:val="00C4501A"/>
    <w:rsid w:val="00C45D05"/>
    <w:rsid w:val="00C45DA7"/>
    <w:rsid w:val="00C46576"/>
    <w:rsid w:val="00C469FA"/>
    <w:rsid w:val="00C47D8A"/>
    <w:rsid w:val="00C55F6A"/>
    <w:rsid w:val="00C572C1"/>
    <w:rsid w:val="00C57E69"/>
    <w:rsid w:val="00C60409"/>
    <w:rsid w:val="00C62C7A"/>
    <w:rsid w:val="00C64765"/>
    <w:rsid w:val="00C666C6"/>
    <w:rsid w:val="00C75071"/>
    <w:rsid w:val="00C75C37"/>
    <w:rsid w:val="00C806DF"/>
    <w:rsid w:val="00C8237B"/>
    <w:rsid w:val="00C8315A"/>
    <w:rsid w:val="00C83CBC"/>
    <w:rsid w:val="00C87557"/>
    <w:rsid w:val="00C87F3B"/>
    <w:rsid w:val="00C93920"/>
    <w:rsid w:val="00C96D2A"/>
    <w:rsid w:val="00C97996"/>
    <w:rsid w:val="00CA0D46"/>
    <w:rsid w:val="00CA223F"/>
    <w:rsid w:val="00CA3CAF"/>
    <w:rsid w:val="00CA46DD"/>
    <w:rsid w:val="00CA798D"/>
    <w:rsid w:val="00CB1C67"/>
    <w:rsid w:val="00CB7F31"/>
    <w:rsid w:val="00CC076F"/>
    <w:rsid w:val="00CC3555"/>
    <w:rsid w:val="00CC3D07"/>
    <w:rsid w:val="00CC5A04"/>
    <w:rsid w:val="00CC7AC2"/>
    <w:rsid w:val="00CD00A5"/>
    <w:rsid w:val="00CD29BA"/>
    <w:rsid w:val="00CD62CD"/>
    <w:rsid w:val="00CD7E0A"/>
    <w:rsid w:val="00CE03C3"/>
    <w:rsid w:val="00CE08E8"/>
    <w:rsid w:val="00CE589B"/>
    <w:rsid w:val="00CE6684"/>
    <w:rsid w:val="00CE67C4"/>
    <w:rsid w:val="00CF0415"/>
    <w:rsid w:val="00CF0EF8"/>
    <w:rsid w:val="00D0702C"/>
    <w:rsid w:val="00D11651"/>
    <w:rsid w:val="00D12CBA"/>
    <w:rsid w:val="00D14DF9"/>
    <w:rsid w:val="00D17764"/>
    <w:rsid w:val="00D20825"/>
    <w:rsid w:val="00D22F21"/>
    <w:rsid w:val="00D23A12"/>
    <w:rsid w:val="00D251C3"/>
    <w:rsid w:val="00D27552"/>
    <w:rsid w:val="00D31AD9"/>
    <w:rsid w:val="00D330AB"/>
    <w:rsid w:val="00D33366"/>
    <w:rsid w:val="00D33E08"/>
    <w:rsid w:val="00D35E75"/>
    <w:rsid w:val="00D36C4C"/>
    <w:rsid w:val="00D370CA"/>
    <w:rsid w:val="00D37B29"/>
    <w:rsid w:val="00D40799"/>
    <w:rsid w:val="00D436BF"/>
    <w:rsid w:val="00D4383A"/>
    <w:rsid w:val="00D47631"/>
    <w:rsid w:val="00D5295F"/>
    <w:rsid w:val="00D5413B"/>
    <w:rsid w:val="00D54960"/>
    <w:rsid w:val="00D55E00"/>
    <w:rsid w:val="00D55FEE"/>
    <w:rsid w:val="00D572B5"/>
    <w:rsid w:val="00D6221C"/>
    <w:rsid w:val="00D70DB0"/>
    <w:rsid w:val="00D747CD"/>
    <w:rsid w:val="00D8271C"/>
    <w:rsid w:val="00D82CB6"/>
    <w:rsid w:val="00D86E9C"/>
    <w:rsid w:val="00D87335"/>
    <w:rsid w:val="00D903AA"/>
    <w:rsid w:val="00D92FB2"/>
    <w:rsid w:val="00D9354B"/>
    <w:rsid w:val="00D9449A"/>
    <w:rsid w:val="00D94BE4"/>
    <w:rsid w:val="00D95013"/>
    <w:rsid w:val="00D97D18"/>
    <w:rsid w:val="00DA07C1"/>
    <w:rsid w:val="00DA19DF"/>
    <w:rsid w:val="00DA2409"/>
    <w:rsid w:val="00DB1735"/>
    <w:rsid w:val="00DB3CAA"/>
    <w:rsid w:val="00DB7295"/>
    <w:rsid w:val="00DC0300"/>
    <w:rsid w:val="00DC0E29"/>
    <w:rsid w:val="00DC2115"/>
    <w:rsid w:val="00DC2C59"/>
    <w:rsid w:val="00DC6445"/>
    <w:rsid w:val="00DC764D"/>
    <w:rsid w:val="00DD1957"/>
    <w:rsid w:val="00DD6ED6"/>
    <w:rsid w:val="00DD7504"/>
    <w:rsid w:val="00DD7CCD"/>
    <w:rsid w:val="00DE1AF8"/>
    <w:rsid w:val="00DE1BC8"/>
    <w:rsid w:val="00DE4CBE"/>
    <w:rsid w:val="00DE62C9"/>
    <w:rsid w:val="00DE73C7"/>
    <w:rsid w:val="00DF1573"/>
    <w:rsid w:val="00DF48D1"/>
    <w:rsid w:val="00DF55CD"/>
    <w:rsid w:val="00DF6EA2"/>
    <w:rsid w:val="00E0119B"/>
    <w:rsid w:val="00E064A6"/>
    <w:rsid w:val="00E06724"/>
    <w:rsid w:val="00E06ABD"/>
    <w:rsid w:val="00E06E54"/>
    <w:rsid w:val="00E0797B"/>
    <w:rsid w:val="00E1141C"/>
    <w:rsid w:val="00E14241"/>
    <w:rsid w:val="00E16E42"/>
    <w:rsid w:val="00E23B25"/>
    <w:rsid w:val="00E30300"/>
    <w:rsid w:val="00E3264F"/>
    <w:rsid w:val="00E32AE8"/>
    <w:rsid w:val="00E3429E"/>
    <w:rsid w:val="00E37A60"/>
    <w:rsid w:val="00E42A69"/>
    <w:rsid w:val="00E43560"/>
    <w:rsid w:val="00E455A2"/>
    <w:rsid w:val="00E45F8C"/>
    <w:rsid w:val="00E4786B"/>
    <w:rsid w:val="00E5188C"/>
    <w:rsid w:val="00E5678A"/>
    <w:rsid w:val="00E602A2"/>
    <w:rsid w:val="00E6300E"/>
    <w:rsid w:val="00E630B4"/>
    <w:rsid w:val="00E640EF"/>
    <w:rsid w:val="00E64966"/>
    <w:rsid w:val="00E6722D"/>
    <w:rsid w:val="00E67C58"/>
    <w:rsid w:val="00E72CA1"/>
    <w:rsid w:val="00E7722E"/>
    <w:rsid w:val="00E82CB7"/>
    <w:rsid w:val="00E85616"/>
    <w:rsid w:val="00E85C95"/>
    <w:rsid w:val="00E878CE"/>
    <w:rsid w:val="00E87BE3"/>
    <w:rsid w:val="00E915B6"/>
    <w:rsid w:val="00E91FE3"/>
    <w:rsid w:val="00E93DB4"/>
    <w:rsid w:val="00E94186"/>
    <w:rsid w:val="00E960B8"/>
    <w:rsid w:val="00E96F9F"/>
    <w:rsid w:val="00EA058C"/>
    <w:rsid w:val="00EA18B3"/>
    <w:rsid w:val="00EA2AEE"/>
    <w:rsid w:val="00EB01D1"/>
    <w:rsid w:val="00EB19D2"/>
    <w:rsid w:val="00EB2E4F"/>
    <w:rsid w:val="00EB4473"/>
    <w:rsid w:val="00EC2318"/>
    <w:rsid w:val="00EC3597"/>
    <w:rsid w:val="00EC515A"/>
    <w:rsid w:val="00ED126B"/>
    <w:rsid w:val="00ED1DCC"/>
    <w:rsid w:val="00ED661B"/>
    <w:rsid w:val="00ED7009"/>
    <w:rsid w:val="00ED7CB2"/>
    <w:rsid w:val="00EE126D"/>
    <w:rsid w:val="00EE1FB9"/>
    <w:rsid w:val="00EE2016"/>
    <w:rsid w:val="00EE22CD"/>
    <w:rsid w:val="00EE2C5D"/>
    <w:rsid w:val="00EE4757"/>
    <w:rsid w:val="00EE6F2B"/>
    <w:rsid w:val="00EE7E4B"/>
    <w:rsid w:val="00EF0A79"/>
    <w:rsid w:val="00EF29D5"/>
    <w:rsid w:val="00EF4E45"/>
    <w:rsid w:val="00EF68C2"/>
    <w:rsid w:val="00F00039"/>
    <w:rsid w:val="00F06326"/>
    <w:rsid w:val="00F06945"/>
    <w:rsid w:val="00F16B8F"/>
    <w:rsid w:val="00F207B8"/>
    <w:rsid w:val="00F216FE"/>
    <w:rsid w:val="00F21C5C"/>
    <w:rsid w:val="00F227C5"/>
    <w:rsid w:val="00F2653C"/>
    <w:rsid w:val="00F266C6"/>
    <w:rsid w:val="00F26961"/>
    <w:rsid w:val="00F278EB"/>
    <w:rsid w:val="00F32AF4"/>
    <w:rsid w:val="00F334C0"/>
    <w:rsid w:val="00F34ABF"/>
    <w:rsid w:val="00F35416"/>
    <w:rsid w:val="00F365A2"/>
    <w:rsid w:val="00F37605"/>
    <w:rsid w:val="00F40634"/>
    <w:rsid w:val="00F40872"/>
    <w:rsid w:val="00F4207C"/>
    <w:rsid w:val="00F5656E"/>
    <w:rsid w:val="00F5748B"/>
    <w:rsid w:val="00F6106E"/>
    <w:rsid w:val="00F676F3"/>
    <w:rsid w:val="00F70352"/>
    <w:rsid w:val="00F71C79"/>
    <w:rsid w:val="00F75BD2"/>
    <w:rsid w:val="00F812DD"/>
    <w:rsid w:val="00F91397"/>
    <w:rsid w:val="00F91AFE"/>
    <w:rsid w:val="00F94BF4"/>
    <w:rsid w:val="00FA01D5"/>
    <w:rsid w:val="00FA05F9"/>
    <w:rsid w:val="00FA202D"/>
    <w:rsid w:val="00FA2835"/>
    <w:rsid w:val="00FA7B7D"/>
    <w:rsid w:val="00FC235B"/>
    <w:rsid w:val="00FC2CD5"/>
    <w:rsid w:val="00FC76B0"/>
    <w:rsid w:val="00FD2B05"/>
    <w:rsid w:val="00FD3DCB"/>
    <w:rsid w:val="00FD5CCE"/>
    <w:rsid w:val="00FD5CEA"/>
    <w:rsid w:val="00FD67F8"/>
    <w:rsid w:val="00FE1F73"/>
    <w:rsid w:val="00FF1978"/>
    <w:rsid w:val="00FF1A68"/>
    <w:rsid w:val="00FF6754"/>
    <w:rsid w:val="037E320E"/>
    <w:rsid w:val="04461F7D"/>
    <w:rsid w:val="04E452F2"/>
    <w:rsid w:val="078D7EC3"/>
    <w:rsid w:val="08CA47FF"/>
    <w:rsid w:val="08D86F1C"/>
    <w:rsid w:val="0DB937C0"/>
    <w:rsid w:val="0EA55AF2"/>
    <w:rsid w:val="0F0A004B"/>
    <w:rsid w:val="0F2B249C"/>
    <w:rsid w:val="0F696B20"/>
    <w:rsid w:val="12117383"/>
    <w:rsid w:val="139E58EC"/>
    <w:rsid w:val="152D4246"/>
    <w:rsid w:val="1763654B"/>
    <w:rsid w:val="176D5A98"/>
    <w:rsid w:val="19EA4D01"/>
    <w:rsid w:val="1BD619E1"/>
    <w:rsid w:val="1C5D619C"/>
    <w:rsid w:val="1CD145EC"/>
    <w:rsid w:val="1D725739"/>
    <w:rsid w:val="210B5C89"/>
    <w:rsid w:val="2536529E"/>
    <w:rsid w:val="25921169"/>
    <w:rsid w:val="27147861"/>
    <w:rsid w:val="29453572"/>
    <w:rsid w:val="2BEF7F55"/>
    <w:rsid w:val="2E424CB4"/>
    <w:rsid w:val="2F511653"/>
    <w:rsid w:val="331F55C4"/>
    <w:rsid w:val="361C403D"/>
    <w:rsid w:val="37FC2378"/>
    <w:rsid w:val="3CF90C34"/>
    <w:rsid w:val="3D8F7A89"/>
    <w:rsid w:val="41C31810"/>
    <w:rsid w:val="43713C1A"/>
    <w:rsid w:val="4407632C"/>
    <w:rsid w:val="44A771C7"/>
    <w:rsid w:val="4594599D"/>
    <w:rsid w:val="45A33E32"/>
    <w:rsid w:val="462E3F64"/>
    <w:rsid w:val="48FF5824"/>
    <w:rsid w:val="4A5B4CDC"/>
    <w:rsid w:val="4DBF37D4"/>
    <w:rsid w:val="50B43398"/>
    <w:rsid w:val="54336CC9"/>
    <w:rsid w:val="554550A2"/>
    <w:rsid w:val="5A417543"/>
    <w:rsid w:val="604858AA"/>
    <w:rsid w:val="6333639E"/>
    <w:rsid w:val="637B1AF3"/>
    <w:rsid w:val="66DE0D17"/>
    <w:rsid w:val="6BAF4A30"/>
    <w:rsid w:val="6C2C6080"/>
    <w:rsid w:val="6CF03552"/>
    <w:rsid w:val="6D5533B5"/>
    <w:rsid w:val="6F103A37"/>
    <w:rsid w:val="70CB5E68"/>
    <w:rsid w:val="78B11DE7"/>
    <w:rsid w:val="7A2B7977"/>
    <w:rsid w:val="7CE81B50"/>
    <w:rsid w:val="7FB4040F"/>
    <w:rsid w:val="DBE6F183"/>
    <w:rsid w:val="FA5FF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3"/>
    <w:qFormat/>
    <w:uiPriority w:val="0"/>
    <w:pPr>
      <w:keepNext/>
      <w:keepLines/>
      <w:numPr>
        <w:ilvl w:val="0"/>
        <w:numId w:val="1"/>
      </w:numPr>
      <w:spacing w:before="120" w:after="120" w:line="360" w:lineRule="auto"/>
      <w:outlineLvl w:val="0"/>
    </w:pPr>
    <w:rPr>
      <w:rFonts w:eastAsia="黑体"/>
      <w:b/>
      <w:bCs/>
      <w:kern w:val="44"/>
      <w:sz w:val="30"/>
      <w:szCs w:val="44"/>
    </w:rPr>
  </w:style>
  <w:style w:type="paragraph" w:styleId="3">
    <w:name w:val="heading 2"/>
    <w:basedOn w:val="1"/>
    <w:next w:val="1"/>
    <w:link w:val="34"/>
    <w:qFormat/>
    <w:uiPriority w:val="9"/>
    <w:pPr>
      <w:keepNext/>
      <w:keepLines/>
      <w:spacing w:before="120" w:after="120" w:line="360" w:lineRule="auto"/>
      <w:outlineLvl w:val="1"/>
    </w:pPr>
    <w:rPr>
      <w:rFonts w:ascii="Calibri Light" w:hAnsi="Calibri Light" w:eastAsia="黑体"/>
      <w:b/>
      <w:bCs/>
      <w:sz w:val="28"/>
      <w:szCs w:val="32"/>
    </w:rPr>
  </w:style>
  <w:style w:type="paragraph" w:styleId="4">
    <w:name w:val="heading 3"/>
    <w:basedOn w:val="1"/>
    <w:next w:val="1"/>
    <w:link w:val="35"/>
    <w:qFormat/>
    <w:uiPriority w:val="0"/>
    <w:pPr>
      <w:keepNext/>
      <w:keepLines/>
      <w:spacing w:before="260" w:after="260" w:line="416" w:lineRule="auto"/>
      <w:outlineLvl w:val="2"/>
    </w:pPr>
    <w:rPr>
      <w:rFonts w:ascii="Times New Roman" w:hAnsi="Times New Roman"/>
      <w:b/>
      <w:bCs/>
      <w:sz w:val="24"/>
      <w:szCs w:val="32"/>
    </w:rPr>
  </w:style>
  <w:style w:type="paragraph" w:styleId="5">
    <w:name w:val="heading 4"/>
    <w:basedOn w:val="1"/>
    <w:next w:val="1"/>
    <w:link w:val="36"/>
    <w:qFormat/>
    <w:uiPriority w:val="9"/>
    <w:pPr>
      <w:keepNext/>
      <w:keepLines/>
      <w:spacing w:before="280" w:after="290" w:line="376" w:lineRule="auto"/>
      <w:outlineLvl w:val="3"/>
    </w:pPr>
    <w:rPr>
      <w:rFonts w:ascii="Calibri Light" w:hAnsi="Calibri Light"/>
      <w:b/>
      <w:bCs/>
      <w:sz w:val="24"/>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sz w:val="18"/>
      <w:szCs w:val="18"/>
    </w:rPr>
  </w:style>
  <w:style w:type="paragraph" w:styleId="7">
    <w:name w:val="caption"/>
    <w:basedOn w:val="1"/>
    <w:next w:val="1"/>
    <w:qFormat/>
    <w:uiPriority w:val="35"/>
    <w:rPr>
      <w:rFonts w:ascii="Calibri Light" w:hAnsi="Calibri Light" w:eastAsia="黑体"/>
      <w:sz w:val="20"/>
      <w:szCs w:val="20"/>
    </w:rPr>
  </w:style>
  <w:style w:type="paragraph" w:styleId="8">
    <w:name w:val="Document Map"/>
    <w:basedOn w:val="1"/>
    <w:link w:val="37"/>
    <w:semiHidden/>
    <w:qFormat/>
    <w:uiPriority w:val="0"/>
    <w:pPr>
      <w:shd w:val="clear" w:color="auto" w:fill="000080"/>
    </w:pPr>
    <w:rPr>
      <w:rFonts w:ascii="Times New Roman" w:hAnsi="Times New Roman"/>
      <w:szCs w:val="24"/>
    </w:rPr>
  </w:style>
  <w:style w:type="paragraph" w:styleId="9">
    <w:name w:val="annotation text"/>
    <w:basedOn w:val="1"/>
    <w:link w:val="38"/>
    <w:qFormat/>
    <w:uiPriority w:val="0"/>
    <w:pPr>
      <w:jc w:val="left"/>
    </w:pPr>
    <w:rPr>
      <w:rFonts w:ascii="Times New Roman" w:hAnsi="Times New Roman"/>
      <w:szCs w:val="24"/>
    </w:rPr>
  </w:style>
  <w:style w:type="paragraph" w:styleId="10">
    <w:name w:val="Body Text"/>
    <w:basedOn w:val="1"/>
    <w:link w:val="39"/>
    <w:qFormat/>
    <w:uiPriority w:val="0"/>
    <w:pPr>
      <w:spacing w:after="120"/>
    </w:pPr>
    <w:rPr>
      <w:rFonts w:ascii="Times New Roman" w:hAnsi="Times New Roman"/>
      <w:szCs w:val="24"/>
    </w:rPr>
  </w:style>
  <w:style w:type="paragraph" w:styleId="11">
    <w:name w:val="Body Text Indent"/>
    <w:basedOn w:val="1"/>
    <w:link w:val="40"/>
    <w:qFormat/>
    <w:uiPriority w:val="0"/>
    <w:pPr>
      <w:ind w:firstLine="592" w:firstLineChars="214"/>
    </w:pPr>
    <w:rPr>
      <w:rFonts w:ascii="宋体" w:hAnsi="宋体"/>
      <w:sz w:val="30"/>
      <w:szCs w:val="24"/>
    </w:rPr>
  </w:style>
  <w:style w:type="paragraph" w:styleId="12">
    <w:name w:val="toc 5"/>
    <w:basedOn w:val="1"/>
    <w:next w:val="1"/>
    <w:unhideWhenUsed/>
    <w:qFormat/>
    <w:uiPriority w:val="39"/>
    <w:pPr>
      <w:ind w:left="840"/>
      <w:jc w:val="left"/>
    </w:pPr>
    <w:rPr>
      <w:sz w:val="18"/>
      <w:szCs w:val="18"/>
    </w:rPr>
  </w:style>
  <w:style w:type="paragraph" w:styleId="13">
    <w:name w:val="toc 3"/>
    <w:basedOn w:val="1"/>
    <w:next w:val="1"/>
    <w:unhideWhenUsed/>
    <w:qFormat/>
    <w:uiPriority w:val="39"/>
    <w:pPr>
      <w:spacing w:line="360" w:lineRule="auto"/>
      <w:ind w:left="420"/>
      <w:jc w:val="left"/>
    </w:pPr>
    <w:rPr>
      <w:rFonts w:ascii="Times New Roman" w:hAnsi="Times New Roman"/>
      <w:iCs/>
      <w:sz w:val="28"/>
      <w:szCs w:val="20"/>
    </w:rPr>
  </w:style>
  <w:style w:type="paragraph" w:styleId="14">
    <w:name w:val="toc 8"/>
    <w:basedOn w:val="1"/>
    <w:next w:val="1"/>
    <w:unhideWhenUsed/>
    <w:qFormat/>
    <w:uiPriority w:val="39"/>
    <w:pPr>
      <w:ind w:left="1470"/>
      <w:jc w:val="left"/>
    </w:pPr>
    <w:rPr>
      <w:sz w:val="18"/>
      <w:szCs w:val="18"/>
    </w:rPr>
  </w:style>
  <w:style w:type="paragraph" w:styleId="15">
    <w:name w:val="Date"/>
    <w:basedOn w:val="1"/>
    <w:next w:val="1"/>
    <w:link w:val="41"/>
    <w:unhideWhenUsed/>
    <w:qFormat/>
    <w:uiPriority w:val="99"/>
    <w:pPr>
      <w:ind w:left="100" w:leftChars="2500"/>
    </w:pPr>
  </w:style>
  <w:style w:type="paragraph" w:styleId="16">
    <w:name w:val="Balloon Text"/>
    <w:basedOn w:val="1"/>
    <w:link w:val="42"/>
    <w:unhideWhenUsed/>
    <w:qFormat/>
    <w:uiPriority w:val="0"/>
    <w:rPr>
      <w:sz w:val="18"/>
      <w:szCs w:val="18"/>
    </w:rPr>
  </w:style>
  <w:style w:type="paragraph" w:styleId="17">
    <w:name w:val="footer"/>
    <w:basedOn w:val="1"/>
    <w:link w:val="43"/>
    <w:unhideWhenUsed/>
    <w:qFormat/>
    <w:uiPriority w:val="0"/>
    <w:pPr>
      <w:tabs>
        <w:tab w:val="center" w:pos="4153"/>
        <w:tab w:val="right" w:pos="8306"/>
      </w:tabs>
      <w:snapToGrid w:val="0"/>
      <w:jc w:val="left"/>
    </w:pPr>
    <w:rPr>
      <w:sz w:val="18"/>
      <w:szCs w:val="18"/>
    </w:rPr>
  </w:style>
  <w:style w:type="paragraph" w:styleId="18">
    <w:name w:val="header"/>
    <w:basedOn w:val="1"/>
    <w:link w:val="44"/>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tabs>
        <w:tab w:val="left" w:pos="284"/>
        <w:tab w:val="left" w:pos="420"/>
        <w:tab w:val="right" w:leader="dot" w:pos="8296"/>
      </w:tabs>
      <w:spacing w:before="120" w:after="120" w:line="360" w:lineRule="auto"/>
      <w:jc w:val="left"/>
    </w:pPr>
    <w:rPr>
      <w:rFonts w:ascii="Times New Roman" w:hAnsi="Times New Roman" w:eastAsia="黑体"/>
      <w:b/>
      <w:bCs/>
      <w:caps/>
      <w:sz w:val="28"/>
      <w:szCs w:val="20"/>
    </w:rPr>
  </w:style>
  <w:style w:type="paragraph" w:styleId="20">
    <w:name w:val="toc 4"/>
    <w:basedOn w:val="1"/>
    <w:next w:val="1"/>
    <w:unhideWhenUsed/>
    <w:qFormat/>
    <w:uiPriority w:val="39"/>
    <w:pPr>
      <w:ind w:left="630"/>
      <w:jc w:val="left"/>
    </w:pPr>
    <w:rPr>
      <w:sz w:val="18"/>
      <w:szCs w:val="18"/>
    </w:rPr>
  </w:style>
  <w:style w:type="paragraph" w:styleId="21">
    <w:name w:val="toc 6"/>
    <w:basedOn w:val="1"/>
    <w:next w:val="1"/>
    <w:unhideWhenUsed/>
    <w:qFormat/>
    <w:uiPriority w:val="39"/>
    <w:pPr>
      <w:ind w:left="1050"/>
      <w:jc w:val="left"/>
    </w:pPr>
    <w:rPr>
      <w:sz w:val="18"/>
      <w:szCs w:val="18"/>
    </w:rPr>
  </w:style>
  <w:style w:type="paragraph" w:styleId="22">
    <w:name w:val="Body Text Indent 3"/>
    <w:basedOn w:val="1"/>
    <w:link w:val="45"/>
    <w:qFormat/>
    <w:uiPriority w:val="0"/>
    <w:pPr>
      <w:spacing w:line="240" w:lineRule="exact"/>
      <w:ind w:firstLine="485" w:firstLineChars="214"/>
    </w:pPr>
    <w:rPr>
      <w:rFonts w:ascii="宋体" w:hAnsi="宋体"/>
      <w:spacing w:val="20"/>
      <w:szCs w:val="24"/>
    </w:rPr>
  </w:style>
  <w:style w:type="paragraph" w:styleId="23">
    <w:name w:val="toc 2"/>
    <w:basedOn w:val="1"/>
    <w:next w:val="1"/>
    <w:unhideWhenUsed/>
    <w:qFormat/>
    <w:uiPriority w:val="39"/>
    <w:pPr>
      <w:tabs>
        <w:tab w:val="left" w:pos="284"/>
        <w:tab w:val="left" w:pos="709"/>
        <w:tab w:val="left" w:pos="1134"/>
        <w:tab w:val="right" w:leader="dot" w:pos="8296"/>
      </w:tabs>
      <w:ind w:left="210"/>
      <w:jc w:val="left"/>
    </w:pPr>
    <w:rPr>
      <w:rFonts w:ascii="Times New Roman" w:hAnsi="Times New Roman"/>
      <w:smallCaps/>
      <w:sz w:val="28"/>
      <w:szCs w:val="20"/>
    </w:rPr>
  </w:style>
  <w:style w:type="paragraph" w:styleId="24">
    <w:name w:val="toc 9"/>
    <w:basedOn w:val="1"/>
    <w:next w:val="1"/>
    <w:unhideWhenUsed/>
    <w:qFormat/>
    <w:uiPriority w:val="39"/>
    <w:pPr>
      <w:ind w:left="1680"/>
      <w:jc w:val="left"/>
    </w:pPr>
    <w:rPr>
      <w:sz w:val="18"/>
      <w:szCs w:val="18"/>
    </w:rPr>
  </w:style>
  <w:style w:type="paragraph" w:styleId="25">
    <w:name w:val="annotation subject"/>
    <w:basedOn w:val="9"/>
    <w:next w:val="9"/>
    <w:link w:val="46"/>
    <w:qFormat/>
    <w:uiPriority w:val="0"/>
    <w:rPr>
      <w:b/>
      <w:bCs/>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qFormat/>
    <w:uiPriority w:val="0"/>
  </w:style>
  <w:style w:type="character" w:styleId="30">
    <w:name w:val="FollowedHyperlink"/>
    <w:unhideWhenUsed/>
    <w:qFormat/>
    <w:uiPriority w:val="99"/>
    <w:rPr>
      <w:color w:val="954F72"/>
      <w:u w:val="single"/>
    </w:rPr>
  </w:style>
  <w:style w:type="character" w:styleId="31">
    <w:name w:val="Hyperlink"/>
    <w:unhideWhenUsed/>
    <w:qFormat/>
    <w:uiPriority w:val="99"/>
    <w:rPr>
      <w:color w:val="0563C1"/>
      <w:u w:val="single"/>
    </w:rPr>
  </w:style>
  <w:style w:type="character" w:styleId="32">
    <w:name w:val="annotation reference"/>
    <w:qFormat/>
    <w:uiPriority w:val="0"/>
    <w:rPr>
      <w:sz w:val="21"/>
      <w:szCs w:val="21"/>
    </w:rPr>
  </w:style>
  <w:style w:type="character" w:customStyle="1" w:styleId="33">
    <w:name w:val="标题 1 Char"/>
    <w:link w:val="2"/>
    <w:qFormat/>
    <w:uiPriority w:val="0"/>
    <w:rPr>
      <w:rFonts w:eastAsia="黑体"/>
      <w:b/>
      <w:bCs/>
      <w:kern w:val="44"/>
      <w:sz w:val="30"/>
      <w:szCs w:val="44"/>
    </w:rPr>
  </w:style>
  <w:style w:type="character" w:customStyle="1" w:styleId="34">
    <w:name w:val="标题 2 Char"/>
    <w:link w:val="3"/>
    <w:qFormat/>
    <w:uiPriority w:val="9"/>
    <w:rPr>
      <w:rFonts w:ascii="Calibri Light" w:hAnsi="Calibri Light" w:eastAsia="黑体"/>
      <w:b/>
      <w:bCs/>
      <w:kern w:val="2"/>
      <w:sz w:val="28"/>
      <w:szCs w:val="32"/>
    </w:rPr>
  </w:style>
  <w:style w:type="character" w:customStyle="1" w:styleId="35">
    <w:name w:val="标题 3 Char"/>
    <w:link w:val="4"/>
    <w:qFormat/>
    <w:uiPriority w:val="9"/>
    <w:rPr>
      <w:rFonts w:ascii="Times New Roman" w:hAnsi="Times New Roman"/>
      <w:b/>
      <w:bCs/>
      <w:kern w:val="2"/>
      <w:sz w:val="24"/>
      <w:szCs w:val="32"/>
    </w:rPr>
  </w:style>
  <w:style w:type="character" w:customStyle="1" w:styleId="36">
    <w:name w:val="标题 4 Char"/>
    <w:link w:val="5"/>
    <w:qFormat/>
    <w:uiPriority w:val="9"/>
    <w:rPr>
      <w:rFonts w:ascii="Calibri Light" w:hAnsi="Calibri Light" w:eastAsia="宋体" w:cs="Times New Roman"/>
      <w:b/>
      <w:bCs/>
      <w:kern w:val="2"/>
      <w:sz w:val="24"/>
      <w:szCs w:val="28"/>
    </w:rPr>
  </w:style>
  <w:style w:type="character" w:customStyle="1" w:styleId="37">
    <w:name w:val="文档结构图 Char"/>
    <w:link w:val="8"/>
    <w:semiHidden/>
    <w:qFormat/>
    <w:uiPriority w:val="0"/>
    <w:rPr>
      <w:rFonts w:ascii="Times New Roman" w:hAnsi="Times New Roman"/>
      <w:kern w:val="2"/>
      <w:sz w:val="21"/>
      <w:szCs w:val="24"/>
      <w:shd w:val="clear" w:color="auto" w:fill="000080"/>
    </w:rPr>
  </w:style>
  <w:style w:type="character" w:customStyle="1" w:styleId="38">
    <w:name w:val="批注文字 Char"/>
    <w:link w:val="9"/>
    <w:qFormat/>
    <w:uiPriority w:val="0"/>
    <w:rPr>
      <w:rFonts w:ascii="Times New Roman" w:hAnsi="Times New Roman"/>
      <w:kern w:val="2"/>
      <w:sz w:val="21"/>
      <w:szCs w:val="24"/>
    </w:rPr>
  </w:style>
  <w:style w:type="character" w:customStyle="1" w:styleId="39">
    <w:name w:val="正文文本 Char"/>
    <w:link w:val="10"/>
    <w:qFormat/>
    <w:uiPriority w:val="0"/>
    <w:rPr>
      <w:rFonts w:ascii="Times New Roman" w:hAnsi="Times New Roman"/>
      <w:kern w:val="2"/>
      <w:sz w:val="21"/>
      <w:szCs w:val="24"/>
    </w:rPr>
  </w:style>
  <w:style w:type="character" w:customStyle="1" w:styleId="40">
    <w:name w:val="正文文本缩进 Char"/>
    <w:link w:val="11"/>
    <w:qFormat/>
    <w:uiPriority w:val="0"/>
    <w:rPr>
      <w:rFonts w:ascii="宋体" w:hAnsi="宋体"/>
      <w:kern w:val="2"/>
      <w:sz w:val="30"/>
      <w:szCs w:val="24"/>
    </w:rPr>
  </w:style>
  <w:style w:type="character" w:customStyle="1" w:styleId="41">
    <w:name w:val="日期 Char"/>
    <w:link w:val="15"/>
    <w:semiHidden/>
    <w:qFormat/>
    <w:uiPriority w:val="99"/>
    <w:rPr>
      <w:kern w:val="2"/>
      <w:sz w:val="21"/>
      <w:szCs w:val="22"/>
    </w:rPr>
  </w:style>
  <w:style w:type="character" w:customStyle="1" w:styleId="42">
    <w:name w:val="批注框文本 Char"/>
    <w:link w:val="16"/>
    <w:semiHidden/>
    <w:qFormat/>
    <w:uiPriority w:val="99"/>
    <w:rPr>
      <w:kern w:val="2"/>
      <w:sz w:val="18"/>
      <w:szCs w:val="18"/>
    </w:rPr>
  </w:style>
  <w:style w:type="character" w:customStyle="1" w:styleId="43">
    <w:name w:val="页脚 Char"/>
    <w:link w:val="17"/>
    <w:qFormat/>
    <w:uiPriority w:val="99"/>
    <w:rPr>
      <w:kern w:val="2"/>
      <w:sz w:val="18"/>
      <w:szCs w:val="18"/>
    </w:rPr>
  </w:style>
  <w:style w:type="character" w:customStyle="1" w:styleId="44">
    <w:name w:val="页眉 Char"/>
    <w:link w:val="18"/>
    <w:qFormat/>
    <w:uiPriority w:val="99"/>
    <w:rPr>
      <w:kern w:val="2"/>
      <w:sz w:val="18"/>
      <w:szCs w:val="18"/>
    </w:rPr>
  </w:style>
  <w:style w:type="character" w:customStyle="1" w:styleId="45">
    <w:name w:val="正文文本缩进 3 Char"/>
    <w:link w:val="22"/>
    <w:qFormat/>
    <w:uiPriority w:val="0"/>
    <w:rPr>
      <w:rFonts w:ascii="宋体" w:hAnsi="宋体"/>
      <w:spacing w:val="20"/>
      <w:kern w:val="2"/>
      <w:sz w:val="21"/>
      <w:szCs w:val="24"/>
    </w:rPr>
  </w:style>
  <w:style w:type="character" w:customStyle="1" w:styleId="46">
    <w:name w:val="批注主题 Char"/>
    <w:link w:val="25"/>
    <w:qFormat/>
    <w:uiPriority w:val="0"/>
    <w:rPr>
      <w:rFonts w:ascii="Times New Roman" w:hAnsi="Times New Roman"/>
      <w:b/>
      <w:bCs/>
      <w:kern w:val="2"/>
      <w:sz w:val="21"/>
      <w:szCs w:val="24"/>
    </w:rPr>
  </w:style>
  <w:style w:type="paragraph" w:styleId="47">
    <w:name w:val="List Paragraph"/>
    <w:basedOn w:val="1"/>
    <w:qFormat/>
    <w:uiPriority w:val="34"/>
    <w:pPr>
      <w:ind w:firstLine="420" w:firstLineChars="200"/>
    </w:pPr>
  </w:style>
  <w:style w:type="paragraph" w:customStyle="1" w:styleId="48">
    <w:name w:val="TOC 标题1"/>
    <w:basedOn w:val="2"/>
    <w:next w:val="1"/>
    <w:qFormat/>
    <w:uiPriority w:val="39"/>
    <w:pPr>
      <w:widowControl/>
      <w:numPr>
        <w:numId w:val="0"/>
      </w:numPr>
      <w:spacing w:before="240" w:after="0" w:line="259" w:lineRule="auto"/>
      <w:jc w:val="left"/>
      <w:outlineLvl w:val="9"/>
    </w:pPr>
    <w:rPr>
      <w:rFonts w:ascii="Calibri Light" w:hAnsi="Calibri Light" w:eastAsia="宋体"/>
      <w:b w:val="0"/>
      <w:bCs w:val="0"/>
      <w:color w:val="2E74B5"/>
      <w:kern w:val="0"/>
      <w:szCs w:val="32"/>
    </w:rPr>
  </w:style>
  <w:style w:type="paragraph" w:customStyle="1" w:styleId="49">
    <w:name w:val="Char Char Char Char"/>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5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1">
    <w:name w:val="font6"/>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52">
    <w:name w:val="font7"/>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53">
    <w:name w:val="font8"/>
    <w:basedOn w:val="1"/>
    <w:qFormat/>
    <w:uiPriority w:val="0"/>
    <w:pPr>
      <w:widowControl/>
      <w:spacing w:before="100" w:beforeAutospacing="1" w:after="100" w:afterAutospacing="1"/>
      <w:jc w:val="left"/>
    </w:pPr>
    <w:rPr>
      <w:rFonts w:ascii="Times New Roman" w:hAnsi="Times New Roman"/>
      <w:color w:val="000000"/>
      <w:kern w:val="0"/>
      <w:sz w:val="18"/>
      <w:szCs w:val="18"/>
    </w:rPr>
  </w:style>
  <w:style w:type="paragraph" w:customStyle="1" w:styleId="54">
    <w:name w:val="font9"/>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55">
    <w:name w:val="xl65"/>
    <w:basedOn w:val="1"/>
    <w:qFormat/>
    <w:uiPriority w:val="0"/>
    <w:pPr>
      <w:widowControl/>
      <w:spacing w:before="100" w:beforeAutospacing="1" w:after="100" w:afterAutospacing="1"/>
      <w:jc w:val="center"/>
    </w:pPr>
    <w:rPr>
      <w:rFonts w:ascii="Times New Roman" w:hAnsi="Times New Roman"/>
      <w:kern w:val="0"/>
      <w:sz w:val="18"/>
      <w:szCs w:val="18"/>
    </w:rPr>
  </w:style>
  <w:style w:type="paragraph" w:customStyle="1" w:styleId="56">
    <w:name w:val="xl66"/>
    <w:basedOn w:val="1"/>
    <w:qFormat/>
    <w:uiPriority w:val="0"/>
    <w:pPr>
      <w:widowControl/>
      <w:spacing w:before="100" w:beforeAutospacing="1" w:after="100" w:afterAutospacing="1"/>
      <w:jc w:val="left"/>
    </w:pPr>
    <w:rPr>
      <w:rFonts w:ascii="Times New Roman" w:hAnsi="Times New Roman"/>
      <w:kern w:val="0"/>
      <w:sz w:val="18"/>
      <w:szCs w:val="18"/>
    </w:rPr>
  </w:style>
  <w:style w:type="paragraph" w:customStyle="1" w:styleId="5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 w:val="18"/>
      <w:szCs w:val="18"/>
    </w:rPr>
  </w:style>
  <w:style w:type="paragraph" w:customStyle="1" w:styleId="5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9">
    <w:name w:val="xl6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60">
    <w:name w:val="xl7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6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18"/>
      <w:szCs w:val="18"/>
    </w:rPr>
  </w:style>
  <w:style w:type="paragraph" w:customStyle="1" w:styleId="62">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color w:val="000000"/>
      <w:kern w:val="0"/>
      <w:sz w:val="18"/>
      <w:szCs w:val="18"/>
    </w:rPr>
  </w:style>
  <w:style w:type="paragraph" w:customStyle="1" w:styleId="63">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olor w:val="000000"/>
      <w:kern w:val="0"/>
      <w:sz w:val="18"/>
      <w:szCs w:val="18"/>
    </w:rPr>
  </w:style>
  <w:style w:type="paragraph" w:customStyle="1" w:styleId="64">
    <w:name w:val="xl7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Times New Roman" w:hAnsi="Times New Roman"/>
      <w:color w:val="000000"/>
      <w:kern w:val="0"/>
      <w:sz w:val="18"/>
      <w:szCs w:val="18"/>
    </w:rPr>
  </w:style>
  <w:style w:type="paragraph" w:customStyle="1" w:styleId="65">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kern w:val="0"/>
      <w:sz w:val="18"/>
      <w:szCs w:val="18"/>
    </w:rPr>
  </w:style>
  <w:style w:type="paragraph" w:customStyle="1" w:styleId="66">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18"/>
      <w:szCs w:val="18"/>
    </w:rPr>
  </w:style>
  <w:style w:type="paragraph" w:customStyle="1" w:styleId="67">
    <w:name w:val="xl77"/>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kern w:val="0"/>
      <w:sz w:val="18"/>
      <w:szCs w:val="18"/>
    </w:rPr>
  </w:style>
  <w:style w:type="paragraph" w:customStyle="1" w:styleId="68">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9">
    <w:name w:val="xl7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18"/>
      <w:szCs w:val="18"/>
    </w:rPr>
  </w:style>
  <w:style w:type="paragraph" w:customStyle="1" w:styleId="70">
    <w:name w:val="xl80"/>
    <w:basedOn w:val="1"/>
    <w:qFormat/>
    <w:uiPriority w:val="0"/>
    <w:pPr>
      <w:widowControl/>
      <w:pBdr>
        <w:top w:val="single" w:color="auto" w:sz="4" w:space="0"/>
        <w:right w:val="single" w:color="auto" w:sz="4" w:space="0"/>
      </w:pBdr>
      <w:spacing w:before="100" w:beforeAutospacing="1" w:after="100" w:afterAutospacing="1"/>
      <w:jc w:val="center"/>
    </w:pPr>
    <w:rPr>
      <w:rFonts w:ascii="Times New Roman" w:hAnsi="Times New Roman"/>
      <w:kern w:val="0"/>
      <w:sz w:val="18"/>
      <w:szCs w:val="18"/>
    </w:rPr>
  </w:style>
  <w:style w:type="paragraph" w:customStyle="1" w:styleId="7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2">
    <w:name w:val="xl82"/>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73">
    <w:name w:val="xl83"/>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74">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18"/>
      <w:szCs w:val="18"/>
    </w:rPr>
  </w:style>
  <w:style w:type="paragraph" w:customStyle="1" w:styleId="7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6">
    <w:name w:val="font10"/>
    <w:basedOn w:val="1"/>
    <w:qFormat/>
    <w:uiPriority w:val="0"/>
    <w:pPr>
      <w:widowControl/>
      <w:spacing w:before="100" w:beforeAutospacing="1" w:after="100" w:afterAutospacing="1"/>
      <w:jc w:val="left"/>
    </w:pPr>
    <w:rPr>
      <w:rFonts w:ascii="Times New Roman" w:hAnsi="Times New Roman"/>
      <w:color w:val="000000"/>
      <w:kern w:val="0"/>
      <w:sz w:val="18"/>
      <w:szCs w:val="18"/>
    </w:rPr>
  </w:style>
  <w:style w:type="paragraph" w:customStyle="1" w:styleId="77">
    <w:name w:val="font11"/>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78">
    <w:name w:val="font12"/>
    <w:basedOn w:val="1"/>
    <w:qFormat/>
    <w:uiPriority w:val="0"/>
    <w:pPr>
      <w:widowControl/>
      <w:spacing w:before="100" w:beforeAutospacing="1" w:after="100" w:afterAutospacing="1"/>
      <w:jc w:val="left"/>
    </w:pPr>
    <w:rPr>
      <w:rFonts w:ascii="Times New Roman" w:hAnsi="Times New Roman"/>
      <w:color w:val="000000"/>
      <w:kern w:val="0"/>
      <w:sz w:val="18"/>
      <w:szCs w:val="18"/>
    </w:rPr>
  </w:style>
  <w:style w:type="paragraph" w:customStyle="1" w:styleId="79">
    <w:name w:val="font13"/>
    <w:basedOn w:val="1"/>
    <w:qFormat/>
    <w:uiPriority w:val="0"/>
    <w:pPr>
      <w:widowControl/>
      <w:spacing w:before="100" w:beforeAutospacing="1" w:after="100" w:afterAutospacing="1"/>
      <w:jc w:val="left"/>
    </w:pPr>
    <w:rPr>
      <w:rFonts w:ascii="Times New Roman" w:hAnsi="Times New Roman"/>
      <w:color w:val="000000"/>
      <w:kern w:val="0"/>
      <w:sz w:val="18"/>
      <w:szCs w:val="18"/>
    </w:rPr>
  </w:style>
  <w:style w:type="paragraph" w:customStyle="1" w:styleId="80">
    <w:name w:val="font14"/>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1">
    <w:name w:val="xl86"/>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kern w:val="0"/>
      <w:sz w:val="18"/>
      <w:szCs w:val="18"/>
    </w:rPr>
  </w:style>
  <w:style w:type="paragraph" w:customStyle="1" w:styleId="82">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18"/>
      <w:szCs w:val="18"/>
    </w:rPr>
  </w:style>
  <w:style w:type="paragraph" w:customStyle="1" w:styleId="83">
    <w:name w:val="xl88"/>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kern w:val="0"/>
      <w:sz w:val="18"/>
      <w:szCs w:val="18"/>
    </w:rPr>
  </w:style>
  <w:style w:type="paragraph" w:customStyle="1" w:styleId="84">
    <w:name w:val="xl8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7">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8">
    <w:name w:val="xl9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9">
    <w:name w:val="xl94"/>
    <w:basedOn w:val="1"/>
    <w:qFormat/>
    <w:uiPriority w:val="0"/>
    <w:pPr>
      <w:widowControl/>
      <w:pBdr>
        <w:top w:val="single" w:color="auto" w:sz="4" w:space="0"/>
        <w:left w:val="single" w:color="auto" w:sz="4" w:space="0"/>
      </w:pBdr>
      <w:spacing w:before="100" w:beforeAutospacing="1" w:after="100" w:afterAutospacing="1"/>
      <w:jc w:val="center"/>
    </w:pPr>
    <w:rPr>
      <w:rFonts w:ascii="Times New Roman" w:hAnsi="Times New Roman"/>
      <w:kern w:val="0"/>
      <w:sz w:val="18"/>
      <w:szCs w:val="18"/>
    </w:rPr>
  </w:style>
  <w:style w:type="paragraph" w:customStyle="1" w:styleId="9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9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92">
    <w:name w:val="xl97"/>
    <w:basedOn w:val="1"/>
    <w:qFormat/>
    <w:uiPriority w:val="0"/>
    <w:pPr>
      <w:widowControl/>
      <w:pBdr>
        <w:left w:val="single" w:color="auto" w:sz="4" w:space="0"/>
      </w:pBdr>
      <w:spacing w:before="100" w:beforeAutospacing="1" w:after="100" w:afterAutospacing="1"/>
      <w:jc w:val="center"/>
    </w:pPr>
    <w:rPr>
      <w:rFonts w:ascii="Times New Roman" w:hAnsi="Times New Roman"/>
      <w:kern w:val="0"/>
      <w:sz w:val="18"/>
      <w:szCs w:val="18"/>
    </w:rPr>
  </w:style>
  <w:style w:type="paragraph" w:customStyle="1" w:styleId="93">
    <w:name w:val="xl9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18"/>
      <w:szCs w:val="18"/>
    </w:rPr>
  </w:style>
  <w:style w:type="table" w:customStyle="1" w:styleId="94">
    <w:name w:val="网格型1"/>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5">
    <w:name w:val="标3"/>
    <w:basedOn w:val="1"/>
    <w:qFormat/>
    <w:uiPriority w:val="0"/>
    <w:pPr>
      <w:spacing w:line="300" w:lineRule="exact"/>
      <w:jc w:val="center"/>
    </w:pPr>
    <w:rPr>
      <w:rFonts w:ascii="Times New Roman" w:hAnsi="宋体"/>
      <w:b/>
      <w:bCs/>
      <w:sz w:val="24"/>
      <w:szCs w:val="24"/>
    </w:rPr>
  </w:style>
  <w:style w:type="table" w:customStyle="1" w:styleId="96">
    <w:name w:val="网格型2"/>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
    <w:name w:val="网格型3"/>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8">
    <w:name w:val="表题1"/>
    <w:basedOn w:val="1"/>
    <w:qFormat/>
    <w:uiPriority w:val="0"/>
    <w:pPr>
      <w:jc w:val="center"/>
    </w:pPr>
    <w:rPr>
      <w:rFonts w:ascii="Times New Roman" w:hAnsi="宋体"/>
      <w:b/>
      <w:bCs/>
      <w:spacing w:val="20"/>
      <w:sz w:val="28"/>
      <w:szCs w:val="24"/>
    </w:rPr>
  </w:style>
  <w:style w:type="paragraph" w:customStyle="1" w:styleId="99">
    <w:name w:val="表题2"/>
    <w:basedOn w:val="98"/>
    <w:qFormat/>
    <w:uiPriority w:val="0"/>
    <w:pPr>
      <w:jc w:val="left"/>
    </w:pPr>
    <w:rPr>
      <w:sz w:val="24"/>
    </w:rPr>
  </w:style>
  <w:style w:type="paragraph" w:customStyle="1" w:styleId="100">
    <w:name w:val="一号标题"/>
    <w:basedOn w:val="1"/>
    <w:qFormat/>
    <w:uiPriority w:val="0"/>
    <w:rPr>
      <w:rFonts w:ascii="Times New Roman" w:hAnsi="Times New Roman"/>
      <w:szCs w:val="24"/>
    </w:rPr>
  </w:style>
  <w:style w:type="paragraph" w:customStyle="1" w:styleId="10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2">
    <w:name w:val="＿正文段落"/>
    <w:basedOn w:val="1"/>
    <w:qFormat/>
    <w:uiPriority w:val="0"/>
    <w:pPr>
      <w:spacing w:line="360" w:lineRule="auto"/>
      <w:ind w:firstLine="480" w:firstLineChars="200"/>
    </w:pPr>
    <w:rPr>
      <w:rFonts w:ascii="Times New Roman" w:hAnsi="Times New Roman"/>
      <w:sz w:val="24"/>
      <w:szCs w:val="24"/>
    </w:rPr>
  </w:style>
  <w:style w:type="paragraph" w:customStyle="1" w:styleId="103">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18"/>
      <w:szCs w:val="18"/>
    </w:rPr>
  </w:style>
  <w:style w:type="paragraph" w:customStyle="1" w:styleId="10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color w:val="000000"/>
      <w:kern w:val="0"/>
      <w:sz w:val="18"/>
      <w:szCs w:val="18"/>
    </w:rPr>
  </w:style>
  <w:style w:type="paragraph" w:customStyle="1" w:styleId="105">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Times New Roman" w:hAnsi="Times New Roman"/>
      <w:kern w:val="0"/>
      <w:sz w:val="18"/>
      <w:szCs w:val="18"/>
    </w:rPr>
  </w:style>
  <w:style w:type="paragraph" w:customStyle="1" w:styleId="106">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7">
    <w:name w:val="表格文字"/>
    <w:basedOn w:val="1"/>
    <w:qFormat/>
    <w:uiPriority w:val="0"/>
    <w:pPr>
      <w:jc w:val="center"/>
    </w:pPr>
    <w:rPr>
      <w:rFonts w:ascii="Times New Roman" w:hAnsi="Times New Roman"/>
      <w:sz w:val="24"/>
      <w:szCs w:val="21"/>
    </w:rPr>
  </w:style>
  <w:style w:type="paragraph" w:customStyle="1" w:styleId="108">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09">
    <w:name w:val="附录章标题"/>
    <w:next w:val="1"/>
    <w:qFormat/>
    <w:uiPriority w:val="0"/>
    <w:p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15</Pages>
  <Words>4909</Words>
  <Characters>5176</Characters>
  <Lines>235</Lines>
  <Paragraphs>66</Paragraphs>
  <TotalTime>9</TotalTime>
  <ScaleCrop>false</ScaleCrop>
  <LinksUpToDate>false</LinksUpToDate>
  <CharactersWithSpaces>5301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2025-10-09T14:58:00Z</dcterms:created>
  <dc:creator>User</dc:creator>
  <cp:lastModifiedBy>董珺璞</cp:lastModifiedBy>
  <cp:lastPrinted>2025-10-11T07:08:00Z</cp:lastPrinted>
  <dcterms:modified xsi:type="dcterms:W3CDTF">2025-10-13T03:08:29Z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eyJoZGlkIjoiMDQ0MDE1ZmM3OWI4MmVkOGI5NzU3NzJhYzcwMWM1YmEiLCJ1c2VySWQiOiI1NTA2NzAzNDUifQ==</vt:lpwstr>
  </property>
  <property fmtid="{D5CDD505-2E9C-101B-9397-08002B2CF9AE}" pid="3" name="KSOProductBuildVer">
    <vt:lpwstr>2052-12.1.0.22529</vt:lpwstr>
  </property>
  <property fmtid="{D5CDD505-2E9C-101B-9397-08002B2CF9AE}" pid="4" name="ICV">
    <vt:lpwstr>E1409B890491174C688BE768F7150B93_43</vt:lpwstr>
  </property>
</Properties>
</file>